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949852A">
      <w:pPr>
        <w:snapToGrid w:val="0"/>
        <w:spacing w:line="240" w:lineRule="auto"/>
        <w:ind w:left="0" w:leftChars="0" w:firstLine="0" w:firstLineChars="0"/>
        <w:rPr>
          <w:rFonts w:hint="eastAsia" w:ascii="Times New Roman" w:hAnsi="Times New Roman" w:eastAsia="宋体" w:cs="Times New Roman"/>
          <w:b/>
          <w:color w:val="auto"/>
          <w:sz w:val="52"/>
          <w:szCs w:val="52"/>
          <w:lang w:eastAsia="zh-CN"/>
        </w:rPr>
      </w:pPr>
      <w:r>
        <w:rPr>
          <w:rFonts w:hint="eastAsia" w:ascii="Times New Roman" w:hAnsi="Times New Roman" w:eastAsia="宋体" w:cs="Times New Roman"/>
          <w:b/>
          <w:color w:val="auto"/>
          <w:sz w:val="52"/>
          <w:szCs w:val="52"/>
          <w:lang w:eastAsia="zh-CN"/>
        </w:rPr>
        <w:drawing>
          <wp:inline distT="0" distB="0" distL="114300" distR="114300">
            <wp:extent cx="6187440" cy="8754745"/>
            <wp:effectExtent l="0" t="0" r="0" b="8255"/>
            <wp:docPr id="17" name="图片 17" descr="封面+资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封面+资质_01"/>
                    <pic:cNvPicPr>
                      <a:picLocks noChangeAspect="1"/>
                    </pic:cNvPicPr>
                  </pic:nvPicPr>
                  <pic:blipFill>
                    <a:blip r:embed="rId12"/>
                    <a:stretch>
                      <a:fillRect/>
                    </a:stretch>
                  </pic:blipFill>
                  <pic:spPr>
                    <a:xfrm>
                      <a:off x="0" y="0"/>
                      <a:ext cx="6187440" cy="8754745"/>
                    </a:xfrm>
                    <a:prstGeom prst="rect">
                      <a:avLst/>
                    </a:prstGeom>
                  </pic:spPr>
                </pic:pic>
              </a:graphicData>
            </a:graphic>
          </wp:inline>
        </w:drawing>
      </w:r>
      <w:r>
        <w:rPr>
          <w:rFonts w:hint="eastAsia" w:ascii="Times New Roman" w:hAnsi="Times New Roman" w:eastAsia="宋体" w:cs="Times New Roman"/>
          <w:b/>
          <w:color w:val="auto"/>
          <w:sz w:val="52"/>
          <w:szCs w:val="52"/>
          <w:lang w:eastAsia="zh-CN"/>
        </w:rPr>
        <w:drawing>
          <wp:inline distT="0" distB="0" distL="114300" distR="114300">
            <wp:extent cx="6188710" cy="8751570"/>
            <wp:effectExtent l="0" t="0" r="13970" b="11430"/>
            <wp:docPr id="16" name="图片 16" descr="封面+资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封面+资质_02"/>
                    <pic:cNvPicPr>
                      <a:picLocks noChangeAspect="1"/>
                    </pic:cNvPicPr>
                  </pic:nvPicPr>
                  <pic:blipFill>
                    <a:blip r:embed="rId13"/>
                    <a:stretch>
                      <a:fillRect/>
                    </a:stretch>
                  </pic:blipFill>
                  <pic:spPr>
                    <a:xfrm>
                      <a:off x="0" y="0"/>
                      <a:ext cx="6188710" cy="8751570"/>
                    </a:xfrm>
                    <a:prstGeom prst="rect">
                      <a:avLst/>
                    </a:prstGeom>
                  </pic:spPr>
                </pic:pic>
              </a:graphicData>
            </a:graphic>
          </wp:inline>
        </w:drawing>
      </w:r>
      <w:r>
        <w:rPr>
          <w:sz w:val="52"/>
        </w:rPr>
        <mc:AlternateContent>
          <mc:Choice Requires="wps">
            <w:drawing>
              <wp:anchor distT="0" distB="0" distL="114300" distR="114300" simplePos="0" relativeHeight="251661312" behindDoc="0" locked="0" layoutInCell="1" allowOverlap="1">
                <wp:simplePos x="0" y="0"/>
                <wp:positionH relativeFrom="column">
                  <wp:posOffset>4029075</wp:posOffset>
                </wp:positionH>
                <wp:positionV relativeFrom="paragraph">
                  <wp:posOffset>7026910</wp:posOffset>
                </wp:positionV>
                <wp:extent cx="855980" cy="133350"/>
                <wp:effectExtent l="12700" t="12700" r="15240" b="21590"/>
                <wp:wrapNone/>
                <wp:docPr id="79" name="矩形 79"/>
                <wp:cNvGraphicFramePr/>
                <a:graphic xmlns:a="http://schemas.openxmlformats.org/drawingml/2006/main">
                  <a:graphicData uri="http://schemas.microsoft.com/office/word/2010/wordprocessingShape">
                    <wps:wsp>
                      <wps:cNvSpPr/>
                      <wps:spPr>
                        <a:xfrm>
                          <a:off x="0" y="0"/>
                          <a:ext cx="855980" cy="133350"/>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25pt;margin-top:553.3pt;height:10.5pt;width:67.4pt;z-index:251661312;v-text-anchor:middle;mso-width-relative:page;mso-height-relative:page;" fillcolor="#000000 [3213]" filled="t" stroked="t" coordsize="21600,21600" o:gfxdata="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7bopHdoAAAANAQAADwAAAAAAAAABACAAAAAiAAAAZHJzL2Rvd25yZXYueG1sUEsBAhQAFAAA&#10;AAgAh07iQNsBmBlfAgAA3gQAAA4AAAAAAAAAAQAgAAAAKQEAAGRycy9lMm9Eb2MueG1sUEsFBgAA&#10;AAAGAAYAWQEAAPoFAAAAAA==&#10;">
                <v:fill on="t" focussize="0,0"/>
                <v:stroke weight="2pt" color="#000000 [3213]" joinstyle="round"/>
                <v:imagedata o:title=""/>
                <o:lock v:ext="edit" aspectratio="f"/>
              </v:rect>
            </w:pict>
          </mc:Fallback>
        </mc:AlternateContent>
      </w:r>
      <w:r>
        <w:rPr>
          <w:sz w:val="52"/>
        </w:rPr>
        <mc:AlternateContent>
          <mc:Choice Requires="wps">
            <w:drawing>
              <wp:anchor distT="0" distB="0" distL="114300" distR="114300" simplePos="0" relativeHeight="251660288" behindDoc="0" locked="0" layoutInCell="1" allowOverlap="1">
                <wp:simplePos x="0" y="0"/>
                <wp:positionH relativeFrom="column">
                  <wp:posOffset>4041140</wp:posOffset>
                </wp:positionH>
                <wp:positionV relativeFrom="paragraph">
                  <wp:posOffset>6633210</wp:posOffset>
                </wp:positionV>
                <wp:extent cx="855980" cy="133350"/>
                <wp:effectExtent l="12700" t="12700" r="15240" b="21590"/>
                <wp:wrapNone/>
                <wp:docPr id="78" name="矩形 78"/>
                <wp:cNvGraphicFramePr/>
                <a:graphic xmlns:a="http://schemas.openxmlformats.org/drawingml/2006/main">
                  <a:graphicData uri="http://schemas.microsoft.com/office/word/2010/wordprocessingShape">
                    <wps:wsp>
                      <wps:cNvSpPr/>
                      <wps:spPr>
                        <a:xfrm>
                          <a:off x="4546600" y="5498465"/>
                          <a:ext cx="855980" cy="133350"/>
                        </a:xfrm>
                        <a:prstGeom prst="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8.2pt;margin-top:522.3pt;height:10.5pt;width:67.4pt;z-index:251660288;v-text-anchor:middle;mso-width-relative:page;mso-height-relative:page;" fillcolor="#000000 [3213]" filled="t" stroked="t" coordsize="21600,21600" o:gfxdata="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581Ta2gAAAA0BAAAPAAAAAAAAAAEAIAAAACIAAABkcnMvZG93bnJl&#10;di54bWxQSwECFAAUAAAACACHTuJAKBTZRm0CAADqBAAADgAAAAAAAAABACAAAAApAQAAZHJzL2Uy&#10;b0RvYy54bWxQSwUGAAAAAAYABgBZAQAACAYAAAAA&#10;">
                <v:fill on="t" focussize="0,0"/>
                <v:stroke weight="2pt" color="#000000 [3213]" joinstyle="round"/>
                <v:imagedata o:title=""/>
                <o:lock v:ext="edit" aspectratio="f"/>
              </v:rect>
            </w:pict>
          </mc:Fallback>
        </mc:AlternateContent>
      </w:r>
    </w:p>
    <w:p w14:paraId="4CCB5DD0">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一、建设项目基本情况</w:t>
      </w:r>
    </w:p>
    <w:tbl>
      <w:tblPr>
        <w:tblStyle w:val="4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120"/>
        <w:gridCol w:w="3464"/>
        <w:gridCol w:w="1422"/>
        <w:gridCol w:w="3479"/>
      </w:tblGrid>
      <w:tr w14:paraId="28C591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742A12A1">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项目名称</w:t>
            </w:r>
          </w:p>
        </w:tc>
        <w:tc>
          <w:tcPr>
            <w:tcW w:w="4199" w:type="pct"/>
            <w:gridSpan w:val="3"/>
            <w:noWrap w:val="0"/>
            <w:vAlign w:val="center"/>
          </w:tcPr>
          <w:p w14:paraId="26580E8D">
            <w:pPr>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lang w:eastAsia="zh-CN"/>
              </w:rPr>
              <w:t>新建年产300吨游艇护舷、400吨游艇甲板和300吨码头护舷项目</w:t>
            </w:r>
          </w:p>
        </w:tc>
      </w:tr>
      <w:tr w14:paraId="4B7452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29AAD00C">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项目代码</w:t>
            </w:r>
          </w:p>
        </w:tc>
        <w:tc>
          <w:tcPr>
            <w:tcW w:w="4199" w:type="pct"/>
            <w:gridSpan w:val="3"/>
            <w:noWrap w:val="0"/>
            <w:vAlign w:val="center"/>
          </w:tcPr>
          <w:p w14:paraId="305D1EF0">
            <w:pPr>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lang w:val="en-US" w:eastAsia="zh-CN"/>
              </w:rPr>
              <w:t>2506-320413-04-01-367241</w:t>
            </w:r>
          </w:p>
        </w:tc>
      </w:tr>
      <w:tr w14:paraId="23CD14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11A4E370">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建设单位联系人</w:t>
            </w:r>
          </w:p>
        </w:tc>
        <w:tc>
          <w:tcPr>
            <w:tcW w:w="1739" w:type="pct"/>
            <w:noWrap w:val="0"/>
            <w:vAlign w:val="center"/>
          </w:tcPr>
          <w:p w14:paraId="3B01D45D">
            <w:pPr>
              <w:spacing w:line="240" w:lineRule="auto"/>
              <w:ind w:firstLine="0" w:firstLineChars="0"/>
              <w:jc w:val="center"/>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color w:val="auto"/>
                <w:sz w:val="24"/>
                <w:lang w:val="en-US" w:eastAsia="zh-CN"/>
              </w:rPr>
              <w:t>***</w:t>
            </w:r>
          </w:p>
        </w:tc>
        <w:tc>
          <w:tcPr>
            <w:tcW w:w="714" w:type="pct"/>
            <w:noWrap w:val="0"/>
            <w:vAlign w:val="center"/>
          </w:tcPr>
          <w:p w14:paraId="1B569196">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联系方式</w:t>
            </w:r>
          </w:p>
        </w:tc>
        <w:tc>
          <w:tcPr>
            <w:tcW w:w="1746" w:type="pct"/>
            <w:noWrap w:val="0"/>
            <w:vAlign w:val="center"/>
          </w:tcPr>
          <w:p w14:paraId="11A78406">
            <w:pPr>
              <w:spacing w:line="240" w:lineRule="auto"/>
              <w:ind w:firstLine="0" w:firstLine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lang w:val="en-US" w:eastAsia="zh-CN"/>
              </w:rPr>
              <w:t>***</w:t>
            </w:r>
          </w:p>
        </w:tc>
      </w:tr>
      <w:tr w14:paraId="6960AA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715D90A7">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建设地点</w:t>
            </w:r>
          </w:p>
        </w:tc>
        <w:tc>
          <w:tcPr>
            <w:tcW w:w="4199" w:type="pct"/>
            <w:gridSpan w:val="3"/>
            <w:noWrap w:val="0"/>
            <w:vAlign w:val="center"/>
          </w:tcPr>
          <w:p w14:paraId="251118B7">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highlight w:val="none"/>
                <w:u w:val="single"/>
              </w:rPr>
              <w:t xml:space="preserve">江苏 </w:t>
            </w:r>
            <w:r>
              <w:rPr>
                <w:rFonts w:hint="default" w:ascii="Times New Roman" w:hAnsi="Times New Roman" w:eastAsia="宋体" w:cs="Times New Roman"/>
                <w:color w:val="auto"/>
                <w:sz w:val="24"/>
                <w:szCs w:val="24"/>
                <w:highlight w:val="none"/>
              </w:rPr>
              <w:t>省</w:t>
            </w:r>
            <w:r>
              <w:rPr>
                <w:rFonts w:hint="default" w:ascii="Times New Roman" w:hAnsi="Times New Roman" w:eastAsia="宋体" w:cs="Times New Roman"/>
                <w:color w:val="auto"/>
                <w:sz w:val="24"/>
                <w:szCs w:val="24"/>
                <w:highlight w:val="none"/>
                <w:u w:val="single"/>
              </w:rPr>
              <w:t xml:space="preserve"> 常州 </w:t>
            </w:r>
            <w:r>
              <w:rPr>
                <w:rFonts w:hint="default" w:ascii="Times New Roman" w:hAnsi="Times New Roman" w:eastAsia="宋体" w:cs="Times New Roman"/>
                <w:color w:val="auto"/>
                <w:sz w:val="24"/>
                <w:szCs w:val="24"/>
                <w:highlight w:val="none"/>
              </w:rPr>
              <w:t>市</w:t>
            </w:r>
            <w:r>
              <w:rPr>
                <w:rFonts w:hint="default" w:ascii="Times New Roman" w:hAnsi="Times New Roman" w:eastAsia="宋体" w:cs="Times New Roman"/>
                <w:color w:val="auto"/>
                <w:sz w:val="24"/>
                <w:szCs w:val="24"/>
                <w:highlight w:val="none"/>
                <w:u w:val="single"/>
              </w:rPr>
              <w:t xml:space="preserve"> 金坛 </w:t>
            </w:r>
            <w:r>
              <w:rPr>
                <w:rFonts w:hint="default" w:ascii="Times New Roman" w:hAnsi="Times New Roman" w:eastAsia="宋体" w:cs="Times New Roman"/>
                <w:color w:val="auto"/>
                <w:sz w:val="24"/>
                <w:szCs w:val="24"/>
                <w:highlight w:val="none"/>
              </w:rPr>
              <w:t>区</w:t>
            </w:r>
            <w:r>
              <w:rPr>
                <w:rFonts w:hint="default" w:ascii="Times New Roman" w:hAnsi="Times New Roman" w:eastAsia="宋体" w:cs="Times New Roman"/>
                <w:color w:val="auto"/>
                <w:sz w:val="24"/>
                <w:szCs w:val="24"/>
                <w:highlight w:val="none"/>
                <w:u w:val="single"/>
              </w:rPr>
              <w:t xml:space="preserve"> </w:t>
            </w:r>
            <w:r>
              <w:rPr>
                <w:rFonts w:hint="default"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u w:val="single"/>
                <w:lang w:eastAsia="zh-CN"/>
              </w:rPr>
              <w:t>儒林镇儒园路1号-金桂园1幢</w:t>
            </w:r>
            <w:r>
              <w:rPr>
                <w:rFonts w:hint="default" w:ascii="Times New Roman" w:hAnsi="Times New Roman" w:eastAsia="宋体" w:cs="Times New Roman"/>
                <w:color w:val="auto"/>
                <w:sz w:val="24"/>
                <w:szCs w:val="24"/>
                <w:highlight w:val="none"/>
                <w:u w:val="single"/>
                <w:lang w:val="en-US" w:eastAsia="zh-CN"/>
              </w:rPr>
              <w:t xml:space="preserve"> </w:t>
            </w:r>
          </w:p>
        </w:tc>
      </w:tr>
      <w:tr w14:paraId="37F20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1BDC51E8">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地理坐标</w:t>
            </w:r>
          </w:p>
        </w:tc>
        <w:tc>
          <w:tcPr>
            <w:tcW w:w="4199" w:type="pct"/>
            <w:gridSpan w:val="3"/>
            <w:noWrap w:val="0"/>
            <w:vAlign w:val="center"/>
          </w:tcPr>
          <w:p w14:paraId="0C16F239">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（119度</w:t>
            </w:r>
            <w:r>
              <w:rPr>
                <w:rFonts w:hint="default" w:ascii="Times New Roman" w:hAnsi="Times New Roman" w:eastAsia="宋体" w:cs="Times New Roman"/>
                <w:color w:val="auto"/>
                <w:sz w:val="24"/>
                <w:szCs w:val="24"/>
                <w:lang w:val="en-US" w:eastAsia="zh-CN"/>
              </w:rPr>
              <w:t>39</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lang w:val="en-US" w:eastAsia="zh-CN"/>
              </w:rPr>
              <w:t>45.655</w:t>
            </w:r>
            <w:r>
              <w:rPr>
                <w:rFonts w:hint="default" w:ascii="Times New Roman" w:hAnsi="Times New Roman" w:eastAsia="宋体" w:cs="Times New Roman"/>
                <w:color w:val="auto"/>
                <w:sz w:val="24"/>
                <w:szCs w:val="24"/>
              </w:rPr>
              <w:t>秒，31度</w:t>
            </w:r>
            <w:r>
              <w:rPr>
                <w:rFonts w:hint="default" w:ascii="Times New Roman" w:hAnsi="Times New Roman" w:eastAsia="宋体" w:cs="Times New Roman"/>
                <w:color w:val="auto"/>
                <w:sz w:val="24"/>
                <w:szCs w:val="24"/>
                <w:lang w:val="en-US" w:eastAsia="zh-CN"/>
              </w:rPr>
              <w:t>37</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lang w:val="en-US" w:eastAsia="zh-CN"/>
              </w:rPr>
              <w:t>32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304</w:t>
            </w:r>
            <w:r>
              <w:rPr>
                <w:rFonts w:hint="default" w:ascii="Times New Roman" w:hAnsi="Times New Roman" w:eastAsia="宋体" w:cs="Times New Roman"/>
                <w:color w:val="auto"/>
                <w:sz w:val="24"/>
                <w:szCs w:val="24"/>
              </w:rPr>
              <w:t>）</w:t>
            </w:r>
          </w:p>
        </w:tc>
      </w:tr>
      <w:tr w14:paraId="2C13E1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16C0FBB6">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国民经济</w:t>
            </w:r>
          </w:p>
          <w:p w14:paraId="3547C35F">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行业类别</w:t>
            </w:r>
          </w:p>
        </w:tc>
        <w:tc>
          <w:tcPr>
            <w:tcW w:w="1739" w:type="pct"/>
            <w:noWrap w:val="0"/>
            <w:vAlign w:val="center"/>
          </w:tcPr>
          <w:p w14:paraId="29CDC929">
            <w:pPr>
              <w:widowControl/>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C</w:t>
            </w:r>
            <w:r>
              <w:rPr>
                <w:rFonts w:hint="default" w:ascii="Times New Roman" w:hAnsi="Times New Roman" w:eastAsia="宋体" w:cs="Times New Roman"/>
                <w:color w:val="auto"/>
                <w:sz w:val="24"/>
                <w:szCs w:val="24"/>
                <w:lang w:val="en-US" w:eastAsia="zh-CN"/>
              </w:rPr>
              <w:t>2929</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lang w:eastAsia="zh-CN"/>
              </w:rPr>
              <w:t>塑料零件及其他塑料制品制造</w:t>
            </w:r>
          </w:p>
        </w:tc>
        <w:tc>
          <w:tcPr>
            <w:tcW w:w="714" w:type="pct"/>
            <w:noWrap w:val="0"/>
            <w:vAlign w:val="center"/>
          </w:tcPr>
          <w:p w14:paraId="332E440E">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w:t>
            </w:r>
          </w:p>
          <w:p w14:paraId="01F1786E">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行业类别</w:t>
            </w:r>
          </w:p>
        </w:tc>
        <w:tc>
          <w:tcPr>
            <w:tcW w:w="1746" w:type="pct"/>
            <w:noWrap w:val="0"/>
            <w:vAlign w:val="center"/>
          </w:tcPr>
          <w:p w14:paraId="25013D48">
            <w:pPr>
              <w:widowControl/>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二十六、橡胶和塑料制品业29-53、塑料制品业292</w:t>
            </w:r>
          </w:p>
        </w:tc>
      </w:tr>
      <w:tr w14:paraId="2C5A2B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1E6D44E9">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建设性质</w:t>
            </w:r>
          </w:p>
        </w:tc>
        <w:tc>
          <w:tcPr>
            <w:tcW w:w="1739" w:type="pct"/>
            <w:noWrap w:val="0"/>
            <w:vAlign w:val="center"/>
          </w:tcPr>
          <w:p w14:paraId="3F1AA67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新建</w:t>
            </w:r>
          </w:p>
          <w:p w14:paraId="473B4A8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改建</w:t>
            </w:r>
          </w:p>
          <w:p w14:paraId="71FB0E3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扩建</w:t>
            </w:r>
          </w:p>
          <w:p w14:paraId="657EBEB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技术改造</w:t>
            </w:r>
          </w:p>
        </w:tc>
        <w:tc>
          <w:tcPr>
            <w:tcW w:w="714" w:type="pct"/>
            <w:noWrap w:val="0"/>
            <w:vAlign w:val="center"/>
          </w:tcPr>
          <w:p w14:paraId="532B27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w:t>
            </w:r>
          </w:p>
          <w:p w14:paraId="1CEFE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申报情形</w:t>
            </w:r>
          </w:p>
        </w:tc>
        <w:tc>
          <w:tcPr>
            <w:tcW w:w="1746" w:type="pct"/>
            <w:noWrap w:val="0"/>
            <w:vAlign w:val="center"/>
          </w:tcPr>
          <w:p w14:paraId="7F1D0D6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首次申报项目</w:t>
            </w:r>
          </w:p>
          <w:p w14:paraId="42BFDD4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不予批准后再次申报</w:t>
            </w:r>
          </w:p>
          <w:p w14:paraId="19C2023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超五年重新审核项目</w:t>
            </w:r>
          </w:p>
          <w:p w14:paraId="1EDD816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重大变动重新报批项目</w:t>
            </w:r>
          </w:p>
        </w:tc>
      </w:tr>
      <w:tr w14:paraId="33B46B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5CA57036">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立项审批部门</w:t>
            </w:r>
          </w:p>
        </w:tc>
        <w:tc>
          <w:tcPr>
            <w:tcW w:w="1739" w:type="pct"/>
            <w:noWrap w:val="0"/>
            <w:vAlign w:val="center"/>
          </w:tcPr>
          <w:p w14:paraId="16017789">
            <w:pPr>
              <w:widowControl/>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常州市金坛区发展和改革局</w:t>
            </w:r>
          </w:p>
        </w:tc>
        <w:tc>
          <w:tcPr>
            <w:tcW w:w="714" w:type="pct"/>
            <w:noWrap w:val="0"/>
            <w:vAlign w:val="center"/>
          </w:tcPr>
          <w:p w14:paraId="1EDF75C3">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批准文号</w:t>
            </w:r>
          </w:p>
        </w:tc>
        <w:tc>
          <w:tcPr>
            <w:tcW w:w="1746" w:type="pct"/>
            <w:noWrap w:val="0"/>
            <w:vAlign w:val="center"/>
          </w:tcPr>
          <w:p w14:paraId="78F3657F">
            <w:pPr>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lang w:eastAsia="zh-CN"/>
              </w:rPr>
              <w:t>坛发改备〔202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988</w:t>
            </w:r>
            <w:r>
              <w:rPr>
                <w:rFonts w:hint="default" w:ascii="Times New Roman" w:hAnsi="Times New Roman" w:eastAsia="宋体" w:cs="Times New Roman"/>
                <w:color w:val="auto"/>
                <w:sz w:val="24"/>
                <w:lang w:eastAsia="zh-CN"/>
              </w:rPr>
              <w:t>号</w:t>
            </w:r>
          </w:p>
        </w:tc>
      </w:tr>
      <w:tr w14:paraId="7386EA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58E98267">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总投资</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万元</w:t>
            </w:r>
            <w:r>
              <w:rPr>
                <w:rFonts w:hint="default" w:ascii="Times New Roman" w:hAnsi="Times New Roman" w:eastAsia="宋体" w:cs="Times New Roman"/>
                <w:b/>
                <w:bCs/>
                <w:color w:val="auto"/>
                <w:sz w:val="24"/>
                <w:szCs w:val="24"/>
                <w:lang w:eastAsia="zh-CN"/>
              </w:rPr>
              <w:t>）</w:t>
            </w:r>
          </w:p>
        </w:tc>
        <w:tc>
          <w:tcPr>
            <w:tcW w:w="1739" w:type="pct"/>
            <w:noWrap w:val="0"/>
            <w:vAlign w:val="center"/>
          </w:tcPr>
          <w:p w14:paraId="2EDAE691">
            <w:pPr>
              <w:spacing w:line="24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lang w:val="en-US" w:eastAsia="zh-CN"/>
              </w:rPr>
              <w:t>500</w:t>
            </w:r>
          </w:p>
        </w:tc>
        <w:tc>
          <w:tcPr>
            <w:tcW w:w="714" w:type="pct"/>
            <w:noWrap w:val="0"/>
            <w:vAlign w:val="center"/>
          </w:tcPr>
          <w:p w14:paraId="08736358">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环保投资（万元）</w:t>
            </w:r>
          </w:p>
        </w:tc>
        <w:tc>
          <w:tcPr>
            <w:tcW w:w="1746" w:type="pct"/>
            <w:noWrap w:val="0"/>
            <w:vAlign w:val="center"/>
          </w:tcPr>
          <w:p w14:paraId="49C671E7">
            <w:pPr>
              <w:spacing w:line="240" w:lineRule="auto"/>
              <w:ind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lang w:val="en-US" w:eastAsia="zh-CN"/>
              </w:rPr>
              <w:t>2</w:t>
            </w:r>
            <w:r>
              <w:rPr>
                <w:rFonts w:hint="eastAsia" w:cs="Times New Roman"/>
                <w:color w:val="auto"/>
                <w:sz w:val="24"/>
                <w:lang w:val="en-US" w:eastAsia="zh-CN"/>
              </w:rPr>
              <w:t>5</w:t>
            </w:r>
          </w:p>
        </w:tc>
      </w:tr>
      <w:tr w14:paraId="452031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122F2ED9">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环保投资占比（%）</w:t>
            </w:r>
          </w:p>
        </w:tc>
        <w:tc>
          <w:tcPr>
            <w:tcW w:w="1739" w:type="pct"/>
            <w:noWrap w:val="0"/>
            <w:vAlign w:val="center"/>
          </w:tcPr>
          <w:p w14:paraId="01C64767">
            <w:pPr>
              <w:spacing w:line="240" w:lineRule="auto"/>
              <w:ind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lang w:val="en-US" w:eastAsia="zh-CN"/>
              </w:rPr>
              <w:t>5</w:t>
            </w:r>
          </w:p>
        </w:tc>
        <w:tc>
          <w:tcPr>
            <w:tcW w:w="714" w:type="pct"/>
            <w:noWrap w:val="0"/>
            <w:vAlign w:val="center"/>
          </w:tcPr>
          <w:p w14:paraId="1EAFB8C3">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施工工期</w:t>
            </w:r>
          </w:p>
        </w:tc>
        <w:tc>
          <w:tcPr>
            <w:tcW w:w="1746" w:type="pct"/>
            <w:noWrap w:val="0"/>
            <w:vAlign w:val="center"/>
          </w:tcPr>
          <w:p w14:paraId="738CD52E">
            <w:pPr>
              <w:spacing w:line="240" w:lineRule="auto"/>
              <w:ind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个月</w:t>
            </w:r>
          </w:p>
        </w:tc>
      </w:tr>
      <w:tr w14:paraId="16D10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800" w:type="pct"/>
            <w:gridSpan w:val="2"/>
            <w:noWrap w:val="0"/>
            <w:vAlign w:val="center"/>
          </w:tcPr>
          <w:p w14:paraId="4F3A7B8E">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是否开工建设</w:t>
            </w:r>
          </w:p>
        </w:tc>
        <w:tc>
          <w:tcPr>
            <w:tcW w:w="1739" w:type="pct"/>
            <w:noWrap w:val="0"/>
            <w:vAlign w:val="center"/>
          </w:tcPr>
          <w:p w14:paraId="4999BC8E">
            <w:pPr>
              <w:spacing w:line="240" w:lineRule="auto"/>
              <w:ind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否</w:t>
            </w:r>
          </w:p>
          <w:p w14:paraId="78B7E082">
            <w:pPr>
              <w:spacing w:line="240" w:lineRule="auto"/>
              <w:ind w:firstLine="0" w:firstLineChars="0"/>
              <w:jc w:val="left"/>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rPr>
              <w:sym w:font="Wingdings 2" w:char="00A3"/>
            </w:r>
            <w:r>
              <w:rPr>
                <w:rFonts w:hint="default" w:ascii="Times New Roman" w:hAnsi="Times New Roman" w:eastAsia="宋体" w:cs="Times New Roman"/>
                <w:color w:val="auto"/>
                <w:sz w:val="24"/>
                <w:szCs w:val="24"/>
              </w:rPr>
              <w:t>是</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u w:val="single"/>
              </w:rPr>
              <w:t xml:space="preserve">          </w:t>
            </w:r>
          </w:p>
        </w:tc>
        <w:tc>
          <w:tcPr>
            <w:tcW w:w="714" w:type="pct"/>
            <w:noWrap w:val="0"/>
            <w:vAlign w:val="center"/>
          </w:tcPr>
          <w:p w14:paraId="4BE2EA75">
            <w:pPr>
              <w:spacing w:line="240" w:lineRule="auto"/>
              <w:ind w:firstLine="0" w:firstLineChars="0"/>
              <w:jc w:val="center"/>
              <w:rPr>
                <w:rFonts w:hint="default" w:ascii="Times New Roman" w:hAnsi="Times New Roman" w:eastAsia="宋体" w:cs="Times New Roman"/>
                <w:b/>
                <w:bCs/>
                <w:color w:val="auto"/>
                <w:sz w:val="24"/>
                <w:szCs w:val="24"/>
              </w:rPr>
            </w:pPr>
            <w:r>
              <w:rPr>
                <w:rFonts w:hint="eastAsia" w:cs="Times New Roman"/>
                <w:b/>
                <w:bCs/>
                <w:color w:val="auto"/>
                <w:sz w:val="24"/>
                <w:szCs w:val="24"/>
                <w:lang w:val="en-US" w:eastAsia="zh-CN"/>
              </w:rPr>
              <w:t>建筑</w:t>
            </w:r>
            <w:r>
              <w:rPr>
                <w:rFonts w:hint="default" w:ascii="Times New Roman" w:hAnsi="Times New Roman" w:eastAsia="宋体" w:cs="Times New Roman"/>
                <w:b/>
                <w:bCs/>
                <w:color w:val="auto"/>
                <w:sz w:val="24"/>
                <w:szCs w:val="24"/>
              </w:rPr>
              <w:t>面积（m</w:t>
            </w:r>
            <w:r>
              <w:rPr>
                <w:rFonts w:hint="default" w:ascii="Times New Roman" w:hAnsi="Times New Roman" w:eastAsia="宋体" w:cs="Times New Roman"/>
                <w:b/>
                <w:bCs/>
                <w:color w:val="auto"/>
                <w:sz w:val="24"/>
                <w:szCs w:val="24"/>
                <w:vertAlign w:val="superscript"/>
              </w:rPr>
              <w:t>2</w:t>
            </w:r>
            <w:r>
              <w:rPr>
                <w:rFonts w:hint="default" w:ascii="Times New Roman" w:hAnsi="Times New Roman" w:eastAsia="宋体" w:cs="Times New Roman"/>
                <w:b/>
                <w:bCs/>
                <w:color w:val="auto"/>
                <w:sz w:val="24"/>
                <w:szCs w:val="24"/>
              </w:rPr>
              <w:t>）</w:t>
            </w:r>
          </w:p>
        </w:tc>
        <w:tc>
          <w:tcPr>
            <w:tcW w:w="1746" w:type="pct"/>
            <w:noWrap w:val="0"/>
            <w:vAlign w:val="center"/>
          </w:tcPr>
          <w:p w14:paraId="05047F96">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highlight w:val="none"/>
                <w:lang w:val="en-US" w:eastAsia="zh-CN"/>
              </w:rPr>
              <w:t>1200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不新增用地</w:t>
            </w:r>
            <w:r>
              <w:rPr>
                <w:rFonts w:hint="default" w:ascii="Times New Roman" w:hAnsi="Times New Roman" w:eastAsia="宋体" w:cs="Times New Roman"/>
                <w:color w:val="auto"/>
                <w:sz w:val="24"/>
                <w:szCs w:val="24"/>
                <w:highlight w:val="none"/>
                <w:lang w:eastAsia="zh-CN"/>
              </w:rPr>
              <w:t>）</w:t>
            </w:r>
          </w:p>
        </w:tc>
      </w:tr>
      <w:tr w14:paraId="11D80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gridSpan w:val="2"/>
            <w:noWrap w:val="0"/>
            <w:vAlign w:val="center"/>
          </w:tcPr>
          <w:p w14:paraId="7B762A96">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专项评价设置情况</w:t>
            </w:r>
          </w:p>
        </w:tc>
        <w:tc>
          <w:tcPr>
            <w:tcW w:w="4199" w:type="pct"/>
            <w:gridSpan w:val="3"/>
            <w:noWrap w:val="0"/>
            <w:vAlign w:val="center"/>
          </w:tcPr>
          <w:p w14:paraId="7BF00A9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专项评价设置对照表</w:t>
            </w:r>
          </w:p>
          <w:tbl>
            <w:tblPr>
              <w:tblStyle w:val="4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21"/>
              <w:gridCol w:w="3922"/>
              <w:gridCol w:w="2471"/>
              <w:gridCol w:w="1032"/>
            </w:tblGrid>
            <w:tr w14:paraId="084D5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4" w:hRule="atLeast"/>
                <w:jc w:val="center"/>
              </w:trPr>
              <w:tc>
                <w:tcPr>
                  <w:tcW w:w="442" w:type="pct"/>
                  <w:noWrap w:val="0"/>
                  <w:vAlign w:val="center"/>
                </w:tcPr>
                <w:p w14:paraId="4FA9624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2406" w:type="pct"/>
                  <w:noWrap w:val="0"/>
                  <w:vAlign w:val="center"/>
                </w:tcPr>
                <w:p w14:paraId="6790874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设置原则</w:t>
                  </w:r>
                </w:p>
              </w:tc>
              <w:tc>
                <w:tcPr>
                  <w:tcW w:w="1516" w:type="pct"/>
                  <w:noWrap w:val="0"/>
                  <w:vAlign w:val="center"/>
                </w:tcPr>
                <w:p w14:paraId="1457837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本项目对照情况</w:t>
                  </w:r>
                </w:p>
              </w:tc>
              <w:tc>
                <w:tcPr>
                  <w:tcW w:w="633" w:type="pct"/>
                  <w:noWrap w:val="0"/>
                  <w:vAlign w:val="center"/>
                </w:tcPr>
                <w:p w14:paraId="1F669D7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是否设置</w:t>
                  </w:r>
                </w:p>
              </w:tc>
            </w:tr>
            <w:tr w14:paraId="5D498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42" w:type="pct"/>
                  <w:noWrap w:val="0"/>
                  <w:vAlign w:val="center"/>
                </w:tcPr>
                <w:p w14:paraId="38387D2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2406" w:type="pct"/>
                  <w:noWrap w:val="0"/>
                  <w:vAlign w:val="center"/>
                </w:tcPr>
                <w:p w14:paraId="664D425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排放废气含有毒有害污染物、二噁英、苯并[a]芘、氰化物、氯气且厂界外500米范围内有环境空气保护目标的建设项目</w:t>
                  </w:r>
                </w:p>
              </w:tc>
              <w:tc>
                <w:tcPr>
                  <w:tcW w:w="1516" w:type="pct"/>
                  <w:noWrap w:val="0"/>
                  <w:vAlign w:val="center"/>
                </w:tcPr>
                <w:p w14:paraId="4E87917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无有毒有害废气排放，且</w:t>
                  </w:r>
                  <w:r>
                    <w:rPr>
                      <w:rFonts w:hint="default" w:ascii="Times New Roman" w:hAnsi="Times New Roman" w:eastAsia="宋体" w:cs="Times New Roman"/>
                      <w:color w:val="auto"/>
                      <w:sz w:val="21"/>
                      <w:szCs w:val="21"/>
                      <w:highlight w:val="none"/>
                    </w:rPr>
                    <w:t>厂界外500米范围内</w:t>
                  </w:r>
                  <w:r>
                    <w:rPr>
                      <w:rFonts w:hint="default" w:ascii="Times New Roman" w:hAnsi="Times New Roman" w:eastAsia="宋体" w:cs="Times New Roman"/>
                      <w:color w:val="auto"/>
                      <w:sz w:val="21"/>
                      <w:szCs w:val="21"/>
                      <w:highlight w:val="none"/>
                      <w:lang w:val="en-US" w:eastAsia="zh-CN"/>
                    </w:rPr>
                    <w:t>无</w:t>
                  </w:r>
                  <w:r>
                    <w:rPr>
                      <w:rFonts w:hint="default" w:ascii="Times New Roman" w:hAnsi="Times New Roman" w:eastAsia="宋体" w:cs="Times New Roman"/>
                      <w:color w:val="auto"/>
                      <w:sz w:val="21"/>
                      <w:szCs w:val="21"/>
                      <w:highlight w:val="none"/>
                    </w:rPr>
                    <w:t>环境空气保护目标的建设项目</w:t>
                  </w:r>
                </w:p>
              </w:tc>
              <w:tc>
                <w:tcPr>
                  <w:tcW w:w="633" w:type="pct"/>
                  <w:noWrap w:val="0"/>
                  <w:vAlign w:val="center"/>
                </w:tcPr>
                <w:p w14:paraId="5477E85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否</w:t>
                  </w:r>
                </w:p>
              </w:tc>
            </w:tr>
            <w:tr w14:paraId="18185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45" w:hRule="atLeast"/>
                <w:jc w:val="center"/>
              </w:trPr>
              <w:tc>
                <w:tcPr>
                  <w:tcW w:w="442" w:type="pct"/>
                  <w:noWrap w:val="0"/>
                  <w:vAlign w:val="center"/>
                </w:tcPr>
                <w:p w14:paraId="5EA88F9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2406" w:type="pct"/>
                  <w:noWrap w:val="0"/>
                  <w:vAlign w:val="center"/>
                </w:tcPr>
                <w:p w14:paraId="271D47E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新增工业废水直排建设项目（槽罐车外送污水处理厂的除外）；新增废水直排的污水集中处理厂</w:t>
                  </w:r>
                </w:p>
              </w:tc>
              <w:tc>
                <w:tcPr>
                  <w:tcW w:w="1516" w:type="pct"/>
                  <w:noWrap w:val="0"/>
                  <w:vAlign w:val="center"/>
                </w:tcPr>
                <w:p w14:paraId="46015B8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本项目无工业废水直接排放</w:t>
                  </w:r>
                </w:p>
              </w:tc>
              <w:tc>
                <w:tcPr>
                  <w:tcW w:w="633" w:type="pct"/>
                  <w:noWrap w:val="0"/>
                  <w:vAlign w:val="center"/>
                </w:tcPr>
                <w:p w14:paraId="387AC93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5E90BD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42" w:type="pct"/>
                  <w:noWrap w:val="0"/>
                  <w:vAlign w:val="center"/>
                </w:tcPr>
                <w:p w14:paraId="007162E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2406" w:type="pct"/>
                  <w:noWrap w:val="0"/>
                  <w:vAlign w:val="center"/>
                </w:tcPr>
                <w:p w14:paraId="5638907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有毒有害和易燃易爆危险物质存储量超过临界量的建设项目</w:t>
                  </w:r>
                </w:p>
              </w:tc>
              <w:tc>
                <w:tcPr>
                  <w:tcW w:w="1516" w:type="pct"/>
                  <w:noWrap w:val="0"/>
                  <w:vAlign w:val="center"/>
                </w:tcPr>
                <w:p w14:paraId="3A0371A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未</w:t>
                  </w:r>
                  <w:r>
                    <w:rPr>
                      <w:rFonts w:hint="default" w:ascii="Times New Roman" w:hAnsi="Times New Roman" w:eastAsia="宋体" w:cs="Times New Roman"/>
                      <w:color w:val="auto"/>
                      <w:sz w:val="21"/>
                      <w:szCs w:val="21"/>
                      <w:highlight w:val="none"/>
                    </w:rPr>
                    <w:t>存储的有毒有害和易燃易爆危险物质</w:t>
                  </w:r>
                </w:p>
              </w:tc>
              <w:tc>
                <w:tcPr>
                  <w:tcW w:w="633" w:type="pct"/>
                  <w:noWrap w:val="0"/>
                  <w:vAlign w:val="center"/>
                </w:tcPr>
                <w:p w14:paraId="3F799B9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13709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42" w:type="pct"/>
                  <w:noWrap w:val="0"/>
                  <w:vAlign w:val="center"/>
                </w:tcPr>
                <w:p w14:paraId="4C4D7B9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2406" w:type="pct"/>
                  <w:noWrap w:val="0"/>
                  <w:vAlign w:val="center"/>
                </w:tcPr>
                <w:p w14:paraId="2242EA8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取水口下游500米范围内有重要水生生物的自然产卵场、索饵场、越冬场和洄游通道的新增河道取水的污染类建设项目</w:t>
                  </w:r>
                </w:p>
              </w:tc>
              <w:tc>
                <w:tcPr>
                  <w:tcW w:w="1516" w:type="pct"/>
                  <w:noWrap w:val="0"/>
                  <w:vAlign w:val="center"/>
                </w:tcPr>
                <w:p w14:paraId="24CDAC5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不涉及</w:t>
                  </w:r>
                </w:p>
              </w:tc>
              <w:tc>
                <w:tcPr>
                  <w:tcW w:w="633" w:type="pct"/>
                  <w:noWrap w:val="0"/>
                  <w:vAlign w:val="center"/>
                </w:tcPr>
                <w:p w14:paraId="1487604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4FDD4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42" w:type="pct"/>
                  <w:noWrap w:val="0"/>
                  <w:vAlign w:val="center"/>
                </w:tcPr>
                <w:p w14:paraId="6B5DF41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海洋</w:t>
                  </w:r>
                </w:p>
              </w:tc>
              <w:tc>
                <w:tcPr>
                  <w:tcW w:w="2406" w:type="pct"/>
                  <w:noWrap w:val="0"/>
                  <w:vAlign w:val="center"/>
                </w:tcPr>
                <w:p w14:paraId="515C8A7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直接向海排放污染物的海洋工程建设项目</w:t>
                  </w:r>
                </w:p>
              </w:tc>
              <w:tc>
                <w:tcPr>
                  <w:tcW w:w="1516" w:type="pct"/>
                  <w:noWrap w:val="0"/>
                  <w:vAlign w:val="center"/>
                </w:tcPr>
                <w:p w14:paraId="20B6CE8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不涉及</w:t>
                  </w:r>
                </w:p>
              </w:tc>
              <w:tc>
                <w:tcPr>
                  <w:tcW w:w="633" w:type="pct"/>
                  <w:noWrap w:val="0"/>
                  <w:vAlign w:val="center"/>
                </w:tcPr>
                <w:p w14:paraId="27CCB45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bl>
          <w:p w14:paraId="5ED1CC1E">
            <w:pPr>
              <w:spacing w:line="240" w:lineRule="auto"/>
              <w:ind w:firstLine="0" w:firstLineChars="0"/>
              <w:jc w:val="center"/>
              <w:rPr>
                <w:rFonts w:hint="default" w:ascii="Times New Roman" w:hAnsi="Times New Roman" w:eastAsia="宋体" w:cs="Times New Roman"/>
                <w:color w:val="auto"/>
                <w:sz w:val="24"/>
                <w:szCs w:val="24"/>
              </w:rPr>
            </w:pPr>
          </w:p>
        </w:tc>
      </w:tr>
      <w:tr w14:paraId="5ED0C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7" w:hRule="atLeast"/>
          <w:jc w:val="center"/>
        </w:trPr>
        <w:tc>
          <w:tcPr>
            <w:tcW w:w="238" w:type="pct"/>
            <w:noWrap w:val="0"/>
            <w:vAlign w:val="center"/>
          </w:tcPr>
          <w:p w14:paraId="4B7BF467">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规划情况</w:t>
            </w:r>
          </w:p>
        </w:tc>
        <w:tc>
          <w:tcPr>
            <w:tcW w:w="4761" w:type="pct"/>
            <w:gridSpan w:val="4"/>
            <w:noWrap w:val="0"/>
            <w:vAlign w:val="center"/>
          </w:tcPr>
          <w:p w14:paraId="2C5C20D6">
            <w:pPr>
              <w:ind w:firstLine="0" w:firstLineChars="0"/>
              <w:jc w:val="left"/>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规划名称：《江苏省金坛经济开发区儒林现代产业园/常州市金坛区儒林产业新镇总体规划》</w:t>
            </w:r>
          </w:p>
          <w:p w14:paraId="763A5264">
            <w:pPr>
              <w:ind w:firstLine="0" w:firstLineChars="0"/>
              <w:jc w:val="left"/>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审批机关：金坛区人民政府</w:t>
            </w:r>
          </w:p>
          <w:p w14:paraId="353DAC96">
            <w:pPr>
              <w:ind w:firstLine="0" w:firstLineChars="0"/>
              <w:jc w:val="left"/>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审批文件文号：坛政复〔2018〕22号</w:t>
            </w:r>
          </w:p>
        </w:tc>
      </w:tr>
      <w:tr w14:paraId="6F9D9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238" w:type="pct"/>
            <w:noWrap w:val="0"/>
            <w:vAlign w:val="center"/>
          </w:tcPr>
          <w:p w14:paraId="6D793A3A">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规划环境影响评价情况</w:t>
            </w:r>
          </w:p>
        </w:tc>
        <w:tc>
          <w:tcPr>
            <w:tcW w:w="4761" w:type="pct"/>
            <w:gridSpan w:val="4"/>
            <w:noWrap w:val="0"/>
            <w:vAlign w:val="center"/>
          </w:tcPr>
          <w:p w14:paraId="421883BC">
            <w:pPr>
              <w:pStyle w:val="183"/>
              <w:ind w:firstLine="0" w:firstLineChars="0"/>
              <w:jc w:val="left"/>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规划环评名称：《江苏省金坛经济开发区儒林现代产业园发展规划环境影响报告书》</w:t>
            </w:r>
          </w:p>
          <w:p w14:paraId="7FE5A590">
            <w:pPr>
              <w:pStyle w:val="183"/>
              <w:ind w:firstLine="0" w:firstLineChars="0"/>
              <w:jc w:val="left"/>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审批机关：常州市生态环境局</w:t>
            </w:r>
          </w:p>
          <w:p w14:paraId="247D3AA1">
            <w:pPr>
              <w:pStyle w:val="183"/>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pacing w:val="-2"/>
                <w:sz w:val="24"/>
                <w:szCs w:val="24"/>
              </w:rPr>
              <w:t>审批文件文号：常金环审〔2021〕92号</w:t>
            </w:r>
          </w:p>
        </w:tc>
      </w:tr>
      <w:tr w14:paraId="534DA5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43" w:hRule="atLeast"/>
          <w:jc w:val="center"/>
        </w:trPr>
        <w:tc>
          <w:tcPr>
            <w:tcW w:w="238" w:type="pct"/>
            <w:noWrap w:val="0"/>
            <w:vAlign w:val="center"/>
          </w:tcPr>
          <w:p w14:paraId="41F4E68D">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规划及规划环境影响评价符合性分析</w:t>
            </w:r>
          </w:p>
        </w:tc>
        <w:tc>
          <w:tcPr>
            <w:tcW w:w="4761" w:type="pct"/>
            <w:gridSpan w:val="4"/>
            <w:noWrap w:val="0"/>
            <w:vAlign w:val="center"/>
          </w:tcPr>
          <w:p w14:paraId="28DAC381">
            <w:pPr>
              <w:tabs>
                <w:tab w:val="left" w:pos="2160"/>
              </w:tabs>
              <w:ind w:firstLine="0" w:firstLineChars="0"/>
              <w:rPr>
                <w:rFonts w:hint="default" w:ascii="Times New Roman" w:hAnsi="Times New Roman" w:eastAsia="宋体" w:cs="Times New Roman"/>
                <w:b/>
                <w:bCs/>
                <w:color w:val="auto"/>
                <w:spacing w:val="-2"/>
                <w:sz w:val="24"/>
                <w:szCs w:val="24"/>
              </w:rPr>
            </w:pPr>
            <w:r>
              <w:rPr>
                <w:rFonts w:hint="default" w:ascii="Times New Roman" w:hAnsi="Times New Roman" w:eastAsia="宋体" w:cs="Times New Roman"/>
                <w:b/>
                <w:color w:val="auto"/>
                <w:sz w:val="24"/>
                <w:szCs w:val="24"/>
              </w:rPr>
              <w:t>1、与</w:t>
            </w:r>
            <w:r>
              <w:rPr>
                <w:rFonts w:hint="default" w:ascii="Times New Roman" w:hAnsi="Times New Roman" w:eastAsia="宋体" w:cs="Times New Roman"/>
                <w:b/>
                <w:color w:val="auto"/>
                <w:sz w:val="24"/>
                <w:szCs w:val="24"/>
                <w:lang w:eastAsia="zh-CN"/>
              </w:rPr>
              <w:t>《金坛区儒林现代产业园发展规划（2020~203</w:t>
            </w:r>
            <w:r>
              <w:rPr>
                <w:rFonts w:hint="eastAsia" w:cs="Times New Roman"/>
                <w:b/>
                <w:color w:val="auto"/>
                <w:sz w:val="24"/>
                <w:szCs w:val="24"/>
                <w:lang w:val="en-US" w:eastAsia="zh-CN"/>
              </w:rPr>
              <w:t>5</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rPr>
              <w:t>相符性分析</w:t>
            </w:r>
          </w:p>
          <w:p w14:paraId="1A0A94D3">
            <w:pPr>
              <w:widowControl/>
              <w:ind w:firstLine="0" w:firstLineChars="0"/>
              <w:rPr>
                <w:rFonts w:hint="default" w:ascii="Times New Roman" w:hAnsi="Times New Roman" w:eastAsia="宋体" w:cs="Times New Roman"/>
                <w:b/>
                <w:bCs/>
                <w:color w:val="auto"/>
                <w:spacing w:val="-2"/>
                <w:sz w:val="24"/>
                <w:szCs w:val="24"/>
              </w:rPr>
            </w:pPr>
            <w:r>
              <w:rPr>
                <w:rFonts w:hint="default" w:ascii="Times New Roman" w:hAnsi="Times New Roman" w:eastAsia="宋体" w:cs="Times New Roman"/>
                <w:b/>
                <w:bCs/>
                <w:color w:val="auto"/>
                <w:spacing w:val="-2"/>
                <w:sz w:val="24"/>
                <w:szCs w:val="24"/>
                <w:lang w:eastAsia="zh-CN"/>
              </w:rPr>
              <w:t>（</w:t>
            </w:r>
            <w:r>
              <w:rPr>
                <w:rFonts w:hint="default" w:ascii="Times New Roman" w:hAnsi="Times New Roman" w:eastAsia="宋体" w:cs="Times New Roman"/>
                <w:b/>
                <w:bCs/>
                <w:color w:val="auto"/>
                <w:spacing w:val="-2"/>
                <w:sz w:val="24"/>
                <w:szCs w:val="24"/>
                <w:lang w:val="en-US" w:eastAsia="zh-CN"/>
              </w:rPr>
              <w:t>1</w:t>
            </w:r>
            <w:r>
              <w:rPr>
                <w:rFonts w:hint="default" w:ascii="Times New Roman" w:hAnsi="Times New Roman" w:eastAsia="宋体" w:cs="Times New Roman"/>
                <w:b/>
                <w:bCs/>
                <w:color w:val="auto"/>
                <w:spacing w:val="-2"/>
                <w:sz w:val="24"/>
                <w:szCs w:val="24"/>
                <w:lang w:eastAsia="zh-CN"/>
              </w:rPr>
              <w:t>）</w:t>
            </w:r>
            <w:r>
              <w:rPr>
                <w:rFonts w:hint="default" w:ascii="Times New Roman" w:hAnsi="Times New Roman" w:eastAsia="宋体" w:cs="Times New Roman"/>
                <w:b/>
                <w:bCs/>
                <w:color w:val="auto"/>
                <w:spacing w:val="-2"/>
                <w:sz w:val="24"/>
                <w:szCs w:val="24"/>
              </w:rPr>
              <w:t>规划期限</w:t>
            </w:r>
          </w:p>
          <w:p w14:paraId="2141F7F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本次规划基准年为20</w:t>
            </w:r>
            <w:r>
              <w:rPr>
                <w:rFonts w:hint="default" w:ascii="Times New Roman" w:hAnsi="Times New Roman" w:eastAsia="宋体" w:cs="Times New Roman"/>
                <w:color w:val="auto"/>
                <w:sz w:val="24"/>
                <w:szCs w:val="24"/>
                <w:lang w:val="en-US" w:eastAsia="zh-CN"/>
              </w:rPr>
              <w:t>19</w:t>
            </w:r>
            <w:r>
              <w:rPr>
                <w:rFonts w:hint="default" w:ascii="Times New Roman" w:hAnsi="Times New Roman" w:eastAsia="宋体" w:cs="Times New Roman"/>
                <w:color w:val="auto"/>
                <w:sz w:val="24"/>
                <w:szCs w:val="24"/>
              </w:rPr>
              <w:t>年，规划期限为20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~203</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年。</w:t>
            </w:r>
          </w:p>
          <w:p w14:paraId="2639305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规划范围</w:t>
            </w:r>
          </w:p>
          <w:p w14:paraId="686B6A0E">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儒林现代产业园规划总面积7.16km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rPr>
              <w:t>。其中，一期园区面积为3.35km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rPr>
              <w:t>，具体范围为东至武进区湟里镇，南至北干河，西至S85溧阳支线，北至金坛区尧塘街道。二期园区面积为3.81km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rPr>
              <w:t>，具体范围为东至宜兴市新建镇，南至儒林河和儒林大街，西至S85溧阳支线，北至北干河。</w:t>
            </w:r>
          </w:p>
          <w:p w14:paraId="31176A1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val="en-US" w:eastAsia="zh-CN"/>
              </w:rPr>
              <w:t>江苏省常州市金坛区</w:t>
            </w:r>
            <w:r>
              <w:rPr>
                <w:rFonts w:hint="default" w:ascii="Times New Roman" w:hAnsi="Times New Roman" w:eastAsia="宋体" w:cs="Times New Roman"/>
                <w:bCs/>
                <w:color w:val="auto"/>
                <w:sz w:val="24"/>
                <w:szCs w:val="24"/>
              </w:rPr>
              <w:t>儒林镇儒园路1号</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sz w:val="24"/>
                <w:szCs w:val="24"/>
              </w:rPr>
              <w:t>属于</w:t>
            </w:r>
            <w:r>
              <w:rPr>
                <w:rFonts w:hint="default" w:ascii="Times New Roman" w:hAnsi="Times New Roman" w:eastAsia="宋体" w:cs="Times New Roman"/>
                <w:color w:val="auto"/>
                <w:sz w:val="24"/>
                <w:szCs w:val="24"/>
                <w:lang w:eastAsia="zh-CN"/>
              </w:rPr>
              <w:t>金坛区儒林现代产业园</w:t>
            </w:r>
            <w:r>
              <w:rPr>
                <w:rFonts w:hint="default" w:ascii="Times New Roman" w:hAnsi="Times New Roman" w:eastAsia="宋体" w:cs="Times New Roman"/>
                <w:color w:val="auto"/>
                <w:sz w:val="24"/>
                <w:szCs w:val="24"/>
              </w:rPr>
              <w:t>规划范围内。根据园区土地利用规划，项目所在地为工业用地。因此本项目符合区域用地规划要求。</w:t>
            </w:r>
          </w:p>
          <w:p w14:paraId="0FE68102">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产业定位</w:t>
            </w:r>
          </w:p>
          <w:p w14:paraId="35C3C15D">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产业定位</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以机械制造和新型材料为基础，重点发展绿色环保、智能装备制造、金属加工制造、汽车零部件以及新能源汽车及动力电池等产业。</w:t>
            </w:r>
          </w:p>
          <w:p w14:paraId="67223C91">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本项目从事</w:t>
            </w:r>
            <w:r>
              <w:rPr>
                <w:rFonts w:hint="default" w:ascii="Times New Roman" w:hAnsi="Times New Roman" w:eastAsia="宋体" w:cs="Times New Roman"/>
                <w:color w:val="auto"/>
                <w:sz w:val="24"/>
                <w:szCs w:val="24"/>
                <w:lang w:val="en-US" w:eastAsia="zh-CN"/>
              </w:rPr>
              <w:t>船舶配件的</w:t>
            </w:r>
            <w:r>
              <w:rPr>
                <w:rFonts w:hint="default" w:ascii="Times New Roman" w:hAnsi="Times New Roman" w:eastAsia="宋体" w:cs="Times New Roman"/>
                <w:b w:val="0"/>
                <w:bCs w:val="0"/>
                <w:color w:val="auto"/>
                <w:sz w:val="24"/>
                <w:szCs w:val="24"/>
              </w:rPr>
              <w:t>生产，属于</w:t>
            </w:r>
            <w:r>
              <w:rPr>
                <w:rFonts w:hint="default" w:ascii="Times New Roman" w:hAnsi="Times New Roman" w:eastAsia="宋体" w:cs="Times New Roman"/>
                <w:b w:val="0"/>
                <w:bCs w:val="0"/>
                <w:color w:val="auto"/>
                <w:spacing w:val="-2"/>
                <w:sz w:val="24"/>
                <w:szCs w:val="24"/>
                <w:lang w:eastAsia="zh-CN"/>
              </w:rPr>
              <w:t>[</w:t>
            </w:r>
            <w:r>
              <w:rPr>
                <w:rFonts w:hint="default" w:ascii="Times New Roman" w:hAnsi="Times New Roman" w:eastAsia="宋体" w:cs="Times New Roman"/>
                <w:bCs/>
                <w:color w:val="auto"/>
                <w:sz w:val="24"/>
                <w:szCs w:val="24"/>
                <w:lang w:eastAsia="zh-CN"/>
              </w:rPr>
              <w:t>C</w:t>
            </w:r>
            <w:r>
              <w:rPr>
                <w:rFonts w:hint="default" w:ascii="Times New Roman" w:hAnsi="Times New Roman" w:eastAsia="宋体" w:cs="Times New Roman"/>
                <w:bCs/>
                <w:color w:val="auto"/>
                <w:sz w:val="24"/>
                <w:szCs w:val="24"/>
                <w:lang w:val="en-US" w:eastAsia="zh-CN"/>
              </w:rPr>
              <w:t>2929</w:t>
            </w:r>
            <w:r>
              <w:rPr>
                <w:rFonts w:hint="default" w:ascii="Times New Roman" w:hAnsi="Times New Roman" w:eastAsia="宋体" w:cs="Times New Roman"/>
                <w:b w:val="0"/>
                <w:bCs w:val="0"/>
                <w:color w:val="auto"/>
                <w:spacing w:val="-2"/>
                <w:sz w:val="24"/>
                <w:szCs w:val="24"/>
                <w:lang w:eastAsia="zh-CN"/>
              </w:rPr>
              <w:t>]</w:t>
            </w:r>
            <w:r>
              <w:rPr>
                <w:rFonts w:hint="default" w:ascii="Times New Roman" w:hAnsi="Times New Roman" w:eastAsia="宋体" w:cs="Times New Roman"/>
                <w:color w:val="auto"/>
                <w:sz w:val="24"/>
                <w:lang w:eastAsia="zh-CN"/>
              </w:rPr>
              <w:t>塑料零件及其他塑料制品制造</w:t>
            </w:r>
            <w:r>
              <w:rPr>
                <w:rFonts w:hint="default" w:ascii="Times New Roman" w:hAnsi="Times New Roman" w:eastAsia="宋体" w:cs="Times New Roman"/>
                <w:b w:val="0"/>
                <w:bCs w:val="0"/>
                <w:color w:val="auto"/>
                <w:sz w:val="24"/>
                <w:szCs w:val="24"/>
              </w:rPr>
              <w:t>，采用环保热稳定剂（钙锌热稳定剂）替代传统有毒稳定剂，减少环境风险；污染治理高效化：投料粉尘、挤出废气经</w:t>
            </w:r>
            <w:r>
              <w:rPr>
                <w:rFonts w:hint="eastAsia"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布袋除尘器+二级活性炭吸附</w:t>
            </w:r>
            <w:r>
              <w:rPr>
                <w:rFonts w:hint="eastAsia" w:cs="Times New Roman"/>
                <w:b w:val="0"/>
                <w:bCs w:val="0"/>
                <w:color w:val="auto"/>
                <w:sz w:val="24"/>
                <w:szCs w:val="24"/>
                <w:lang w:eastAsia="zh-CN"/>
              </w:rPr>
              <w:t>”</w:t>
            </w:r>
            <w:r>
              <w:rPr>
                <w:rFonts w:hint="eastAsia" w:cs="Times New Roman"/>
                <w:b w:val="0"/>
                <w:bCs w:val="0"/>
                <w:color w:val="auto"/>
                <w:sz w:val="24"/>
                <w:szCs w:val="24"/>
                <w:lang w:val="en-US" w:eastAsia="zh-CN"/>
              </w:rPr>
              <w:t>处理后</w:t>
            </w:r>
            <w:r>
              <w:rPr>
                <w:rFonts w:hint="default" w:ascii="Times New Roman" w:hAnsi="Times New Roman" w:eastAsia="宋体" w:cs="Times New Roman"/>
                <w:b w:val="0"/>
                <w:bCs w:val="0"/>
                <w:color w:val="auto"/>
                <w:sz w:val="24"/>
                <w:szCs w:val="24"/>
              </w:rPr>
              <w:t>达标排放，固废100%资源化或合规处置，符合园区</w:t>
            </w:r>
            <w:r>
              <w:rPr>
                <w:rFonts w:hint="eastAsia"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绿色环保</w:t>
            </w:r>
            <w:r>
              <w:rPr>
                <w:rFonts w:hint="eastAsia"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产业定位要求。产品属于船舶机械配套配件，依托园区“机械制造”基础产业，完善船舶装备产业链配套，与金属加工制造、汽车零部件等产业形成协同效应（如共享精密加工、表面处理等技术资源）</w:t>
            </w:r>
            <w:r>
              <w:rPr>
                <w:rFonts w:hint="eastAsia" w:cs="Times New Roman"/>
                <w:b w:val="0"/>
                <w:bCs w:val="0"/>
                <w:color w:val="auto"/>
                <w:sz w:val="24"/>
                <w:szCs w:val="24"/>
                <w:lang w:eastAsia="zh-CN"/>
              </w:rPr>
              <w:t>。</w:t>
            </w:r>
            <w:r>
              <w:rPr>
                <w:rFonts w:hint="eastAsia" w:cs="Times New Roman"/>
                <w:b w:val="0"/>
                <w:bCs w:val="0"/>
                <w:color w:val="auto"/>
                <w:sz w:val="24"/>
                <w:szCs w:val="24"/>
                <w:lang w:val="en-US" w:eastAsia="zh-CN"/>
              </w:rPr>
              <w:t>通过以上路径，企业产品可深度融入园区产业生态，</w:t>
            </w:r>
            <w:r>
              <w:rPr>
                <w:rFonts w:hint="default" w:ascii="Times New Roman" w:hAnsi="Times New Roman" w:eastAsia="宋体" w:cs="Times New Roman"/>
                <w:b w:val="0"/>
                <w:bCs w:val="0"/>
                <w:color w:val="auto"/>
                <w:sz w:val="24"/>
                <w:szCs w:val="24"/>
              </w:rPr>
              <w:t>符合园区产业定位要求。</w:t>
            </w:r>
          </w:p>
          <w:p w14:paraId="14FAF43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环保</w:t>
            </w:r>
            <w:r>
              <w:rPr>
                <w:rFonts w:hint="default" w:ascii="Times New Roman" w:hAnsi="Times New Roman" w:eastAsia="宋体" w:cs="Times New Roman"/>
                <w:b/>
                <w:bCs/>
                <w:color w:val="auto"/>
                <w:sz w:val="24"/>
                <w:szCs w:val="24"/>
              </w:rPr>
              <w:t>基础设施</w:t>
            </w:r>
          </w:p>
          <w:p w14:paraId="4FF06C4E">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1</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规划保留现有供水模式，生活和工业用水主要由长荡湖水厂供水，水源为长荡湖。长荡湖水厂现状规模为20万m</w:t>
            </w:r>
            <w:r>
              <w:rPr>
                <w:rFonts w:hint="default" w:ascii="Times New Roman" w:hAnsi="Times New Roman" w:eastAsia="宋体" w:cs="Times New Roman"/>
                <w:bCs/>
                <w:color w:val="auto"/>
                <w:sz w:val="24"/>
                <w:szCs w:val="24"/>
                <w:vertAlign w:val="superscript"/>
              </w:rPr>
              <w:t>3</w:t>
            </w:r>
            <w:r>
              <w:rPr>
                <w:rFonts w:hint="default" w:ascii="Times New Roman" w:hAnsi="Times New Roman" w:eastAsia="宋体" w:cs="Times New Roman"/>
                <w:bCs/>
                <w:color w:val="auto"/>
                <w:sz w:val="24"/>
                <w:szCs w:val="24"/>
              </w:rPr>
              <w:t>/d，规划末期长荡湖水厂供水能力将达到30万m</w:t>
            </w:r>
            <w:r>
              <w:rPr>
                <w:rFonts w:hint="default" w:ascii="Times New Roman" w:hAnsi="Times New Roman" w:eastAsia="宋体" w:cs="Times New Roman"/>
                <w:bCs/>
                <w:color w:val="auto"/>
                <w:sz w:val="24"/>
                <w:szCs w:val="24"/>
                <w:vertAlign w:val="superscript"/>
              </w:rPr>
              <w:t>3</w:t>
            </w:r>
            <w:r>
              <w:rPr>
                <w:rFonts w:hint="default" w:ascii="Times New Roman" w:hAnsi="Times New Roman" w:eastAsia="宋体" w:cs="Times New Roman"/>
                <w:bCs/>
                <w:color w:val="auto"/>
                <w:sz w:val="24"/>
                <w:szCs w:val="24"/>
              </w:rPr>
              <w:t>/d，以满足区域整体需求。</w:t>
            </w:r>
          </w:p>
          <w:p w14:paraId="27E4D207">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2</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排水制度为雨污分流制。</w:t>
            </w:r>
            <w:r>
              <w:rPr>
                <w:rFonts w:hint="default" w:ascii="Times New Roman" w:hAnsi="Times New Roman" w:eastAsia="宋体" w:cs="Times New Roman"/>
                <w:b w:val="0"/>
                <w:bCs w:val="0"/>
                <w:color w:val="auto"/>
                <w:sz w:val="24"/>
                <w:szCs w:val="24"/>
              </w:rPr>
              <w:t>金坛区儒林现代产业园</w:t>
            </w:r>
            <w:r>
              <w:rPr>
                <w:rFonts w:hint="default" w:ascii="Times New Roman" w:hAnsi="Times New Roman" w:eastAsia="宋体" w:cs="Times New Roman"/>
                <w:bCs/>
                <w:color w:val="auto"/>
                <w:sz w:val="24"/>
                <w:szCs w:val="24"/>
              </w:rPr>
              <w:t>污水主要送入</w:t>
            </w:r>
            <w:r>
              <w:rPr>
                <w:rFonts w:hint="default" w:ascii="Times New Roman" w:hAnsi="Times New Roman" w:eastAsia="宋体" w:cs="Times New Roman"/>
                <w:bCs/>
                <w:color w:val="auto"/>
                <w:sz w:val="24"/>
                <w:szCs w:val="24"/>
                <w:lang w:eastAsia="zh-CN"/>
              </w:rPr>
              <w:t>常州金坛儒林污水处理厂</w:t>
            </w:r>
            <w:r>
              <w:rPr>
                <w:rFonts w:hint="default" w:ascii="Times New Roman" w:hAnsi="Times New Roman" w:eastAsia="宋体" w:cs="Times New Roman"/>
                <w:bCs/>
                <w:color w:val="auto"/>
                <w:sz w:val="24"/>
                <w:szCs w:val="24"/>
              </w:rPr>
              <w:t>处理，未来根据实际运行情况，合理调度园区污水去向。</w:t>
            </w:r>
          </w:p>
          <w:p w14:paraId="58706744">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3</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规划保留220kV水北变，110kV尧塘变、华科变，新建220kV南汤变、金东变，110kV镇南变等变电所。</w:t>
            </w:r>
          </w:p>
          <w:p w14:paraId="5DB728E3">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4</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园区内现有产业项目对供热需求整体偏小，规划仍以采用现行的分散式供热为主，对有热能需求的企业推广天然气锅炉供热。远期如有大规模供热需求，将根据园区实际情况，进一步规划建设集中供热设施。</w:t>
            </w:r>
          </w:p>
          <w:p w14:paraId="322DF8FF">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5</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生活垃圾收运模式采用集中转运方式，保留尧夏路北侧已建垃圾转运站，新建汤庄垃圾转运站、金东垃圾转运站，生活垃圾集中收集后进入区外的金坛垃圾焚烧厂处理。</w:t>
            </w:r>
          </w:p>
          <w:p w14:paraId="79626C3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2、与</w:t>
            </w:r>
            <w:r>
              <w:rPr>
                <w:rFonts w:hint="default" w:ascii="Times New Roman" w:hAnsi="Times New Roman" w:eastAsia="宋体" w:cs="Times New Roman"/>
                <w:b/>
                <w:bCs/>
                <w:color w:val="auto"/>
                <w:sz w:val="24"/>
                <w:szCs w:val="24"/>
                <w:lang w:val="zh-CN"/>
              </w:rPr>
              <w:t>《江苏省金坛经济开发区儒林现代产业园发展规划环境影响报告书》环境影响评价结论及审查意见的符合性</w:t>
            </w:r>
          </w:p>
          <w:p w14:paraId="1823910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与环评结论及审查意见相符性</w:t>
            </w:r>
          </w:p>
          <w:p w14:paraId="1C68FF9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表1-1  项目与规划环境影响报告书审查意见相符性分析一览表</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57" w:type="dxa"/>
                <w:bottom w:w="28" w:type="dxa"/>
                <w:right w:w="57" w:type="dxa"/>
              </w:tblCellMar>
            </w:tblPr>
            <w:tblGrid>
              <w:gridCol w:w="5718"/>
              <w:gridCol w:w="2958"/>
              <w:gridCol w:w="586"/>
            </w:tblGrid>
            <w:tr w14:paraId="724F3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244FA47A">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区域环评审查意见</w:t>
                  </w:r>
                </w:p>
              </w:tc>
              <w:tc>
                <w:tcPr>
                  <w:tcW w:w="1596" w:type="pct"/>
                  <w:tcBorders>
                    <w:tl2br w:val="nil"/>
                    <w:tr2bl w:val="nil"/>
                  </w:tcBorders>
                  <w:noWrap w:val="0"/>
                  <w:vAlign w:val="center"/>
                </w:tcPr>
                <w:p w14:paraId="7EEAB694">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16" w:type="pct"/>
                  <w:tcBorders>
                    <w:tl2br w:val="nil"/>
                    <w:tr2bl w:val="nil"/>
                  </w:tcBorders>
                  <w:noWrap w:val="0"/>
                  <w:vAlign w:val="center"/>
                </w:tcPr>
                <w:p w14:paraId="491AD7DA">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06180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3AEE9E54">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eastAsia="zh-CN"/>
                    </w:rPr>
                    <w:t>规划范围：儒林现代产业园规划总面积7.16km</w:t>
                  </w:r>
                  <w:r>
                    <w:rPr>
                      <w:rFonts w:hint="default" w:ascii="Times New Roman" w:hAnsi="Times New Roman" w:eastAsia="宋体" w:cs="Times New Roman"/>
                      <w:color w:val="auto"/>
                      <w:kern w:val="0"/>
                      <w:sz w:val="21"/>
                      <w:szCs w:val="21"/>
                      <w:highlight w:val="none"/>
                      <w:vertAlign w:val="superscript"/>
                      <w:lang w:eastAsia="zh-CN"/>
                    </w:rPr>
                    <w:t>2</w:t>
                  </w:r>
                  <w:r>
                    <w:rPr>
                      <w:rFonts w:hint="default" w:ascii="Times New Roman" w:hAnsi="Times New Roman" w:eastAsia="宋体" w:cs="Times New Roman"/>
                      <w:color w:val="auto"/>
                      <w:kern w:val="0"/>
                      <w:sz w:val="21"/>
                      <w:szCs w:val="21"/>
                      <w:highlight w:val="none"/>
                      <w:lang w:eastAsia="zh-CN"/>
                    </w:rPr>
                    <w:t>。其中，一期园区面积为3.35km</w:t>
                  </w:r>
                  <w:r>
                    <w:rPr>
                      <w:rFonts w:hint="default" w:ascii="Times New Roman" w:hAnsi="Times New Roman" w:eastAsia="宋体" w:cs="Times New Roman"/>
                      <w:color w:val="auto"/>
                      <w:kern w:val="0"/>
                      <w:sz w:val="21"/>
                      <w:szCs w:val="21"/>
                      <w:highlight w:val="none"/>
                      <w:vertAlign w:val="superscript"/>
                      <w:lang w:eastAsia="zh-CN"/>
                    </w:rPr>
                    <w:t>2</w:t>
                  </w:r>
                  <w:r>
                    <w:rPr>
                      <w:rFonts w:hint="default" w:ascii="Times New Roman" w:hAnsi="Times New Roman" w:eastAsia="宋体" w:cs="Times New Roman"/>
                      <w:color w:val="auto"/>
                      <w:kern w:val="0"/>
                      <w:sz w:val="21"/>
                      <w:szCs w:val="21"/>
                      <w:highlight w:val="none"/>
                      <w:lang w:eastAsia="zh-CN"/>
                    </w:rPr>
                    <w:t>，具体范围为东至武进区湟里镇，南至北干河，西至S85溧阳支线，北至金坛区尧塘街道。二期园区面积为3.81km</w:t>
                  </w:r>
                  <w:r>
                    <w:rPr>
                      <w:rFonts w:hint="default" w:ascii="Times New Roman" w:hAnsi="Times New Roman" w:eastAsia="宋体" w:cs="Times New Roman"/>
                      <w:color w:val="auto"/>
                      <w:kern w:val="0"/>
                      <w:sz w:val="21"/>
                      <w:szCs w:val="21"/>
                      <w:highlight w:val="none"/>
                      <w:vertAlign w:val="superscript"/>
                      <w:lang w:eastAsia="zh-CN"/>
                    </w:rPr>
                    <w:t>2</w:t>
                  </w:r>
                  <w:r>
                    <w:rPr>
                      <w:rFonts w:hint="default" w:ascii="Times New Roman" w:hAnsi="Times New Roman" w:eastAsia="宋体" w:cs="Times New Roman"/>
                      <w:color w:val="auto"/>
                      <w:kern w:val="0"/>
                      <w:sz w:val="21"/>
                      <w:szCs w:val="21"/>
                      <w:highlight w:val="none"/>
                      <w:lang w:eastAsia="zh-CN"/>
                    </w:rPr>
                    <w:t>，具体范围为东至宜兴市新建镇，南至儒林河和儒林大街，西至S85溧阳支线，北至北干河。</w:t>
                  </w:r>
                </w:p>
              </w:tc>
              <w:tc>
                <w:tcPr>
                  <w:tcW w:w="1596" w:type="pct"/>
                  <w:tcBorders>
                    <w:tl2br w:val="nil"/>
                    <w:tr2bl w:val="nil"/>
                  </w:tcBorders>
                  <w:noWrap w:val="0"/>
                  <w:vAlign w:val="center"/>
                </w:tcPr>
                <w:p w14:paraId="6DA74934">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rPr>
                    <w:t>项目位于</w:t>
                  </w:r>
                  <w:r>
                    <w:rPr>
                      <w:rFonts w:hint="default" w:ascii="Times New Roman" w:hAnsi="Times New Roman" w:eastAsia="宋体" w:cs="Times New Roman"/>
                      <w:color w:val="auto"/>
                      <w:sz w:val="21"/>
                      <w:szCs w:val="21"/>
                      <w:lang w:eastAsia="zh-CN"/>
                    </w:rPr>
                    <w:t>江苏省常州市金坛区儒林镇儒园路1号</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eastAsia="zh-CN"/>
                    </w:rPr>
                    <w:t>属于</w:t>
                  </w:r>
                  <w:r>
                    <w:rPr>
                      <w:rFonts w:hint="default" w:ascii="Times New Roman" w:hAnsi="Times New Roman" w:eastAsia="宋体" w:cs="Times New Roman"/>
                      <w:color w:val="auto"/>
                      <w:kern w:val="0"/>
                      <w:sz w:val="21"/>
                      <w:szCs w:val="21"/>
                      <w:lang w:eastAsia="zh-CN"/>
                    </w:rPr>
                    <w:t>金坛区儒林现代产业园范围。</w:t>
                  </w:r>
                </w:p>
              </w:tc>
              <w:tc>
                <w:tcPr>
                  <w:tcW w:w="316" w:type="pct"/>
                  <w:tcBorders>
                    <w:tl2br w:val="nil"/>
                    <w:tr2bl w:val="nil"/>
                  </w:tcBorders>
                  <w:noWrap w:val="0"/>
                  <w:vAlign w:val="center"/>
                </w:tcPr>
                <w:p w14:paraId="24F6E604">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03CC4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08CE2881">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eastAsia="zh-CN"/>
                    </w:rPr>
                    <w:t>产业定位：以机械制造和新型材料为基础，重点发展绿色环保、智能装备制造、金属加工制造、汽车零部件以及新能源汽车及动力电池等产业。在产业分布现状基础上，积极打造S239、S240和S85发展轴、提质增效区、重点开发区和储备开发区。</w:t>
                  </w:r>
                </w:p>
              </w:tc>
              <w:tc>
                <w:tcPr>
                  <w:tcW w:w="1596" w:type="pct"/>
                  <w:tcBorders>
                    <w:tl2br w:val="nil"/>
                    <w:tr2bl w:val="nil"/>
                  </w:tcBorders>
                  <w:noWrap w:val="0"/>
                  <w:vAlign w:val="center"/>
                </w:tcPr>
                <w:p w14:paraId="2C97315C">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本项目从事船舶配件的生产，属于[C2929]塑料零件及其他塑料制品制造，采用环保热稳定剂（钙锌热稳定剂）替代传统有毒稳定剂，减少环境风险；污染治理高效化：投料粉尘、挤出废气经“布袋除尘器+二级活性炭吸附”处理后达标排放，固废100%资源化或合规处置，符合园区“绿色环保”产业定位要求。产品属于船舶机械配套配件，依托园区“机械制造”基础产业，完善船舶装备产业链配套，与金属加工制造、汽车零部件等产业形成协同效应（如共享精密加工、表面处理等技术资源）。通过以上路径，企业产品可深度融入园区产业生态，符合园区产业定位要求。</w:t>
                  </w:r>
                </w:p>
              </w:tc>
              <w:tc>
                <w:tcPr>
                  <w:tcW w:w="316" w:type="pct"/>
                  <w:tcBorders>
                    <w:tl2br w:val="nil"/>
                    <w:tr2bl w:val="nil"/>
                  </w:tcBorders>
                  <w:noWrap w:val="0"/>
                  <w:vAlign w:val="center"/>
                </w:tcPr>
                <w:p w14:paraId="5A41BBB5">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3C7F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10143B7F">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r>
                    <w:rPr>
                      <w:rFonts w:hint="eastAsia" w:cs="Times New Roman"/>
                      <w:color w:val="auto"/>
                      <w:kern w:val="0"/>
                      <w:sz w:val="21"/>
                      <w:szCs w:val="21"/>
                      <w:lang w:val="en-US" w:eastAsia="zh-CN"/>
                    </w:rPr>
                    <w:t>环保基础设施：</w:t>
                  </w:r>
                  <w:r>
                    <w:rPr>
                      <w:rFonts w:hint="default" w:ascii="Times New Roman" w:hAnsi="Times New Roman" w:eastAsia="宋体" w:cs="Times New Roman"/>
                      <w:color w:val="auto"/>
                      <w:kern w:val="0"/>
                      <w:sz w:val="21"/>
                      <w:szCs w:val="21"/>
                      <w:lang w:val="en-US" w:eastAsia="zh-CN"/>
                    </w:rPr>
                    <w:t>按金坛区域供水的统一部署，儒林镇为区域供水系统辐射范围，计划在现有DN500输水管的基础上，从长荡湖水厂沿长荡湖旅游大道新建一根 DN800管，向儒林镇供水，形成两路供水。一期园区在长泰路、S240、秀水路和长丰路等现有道路沿线管网基础上，规划在S239、S240、儒林大道北段等道路沿线新建部分 DN200~DN300 给水管网;二期园区在沿线儒林大道及园区内规划道路沿线新建DN200~DN400给水管网。</w:t>
                  </w:r>
                </w:p>
              </w:tc>
              <w:tc>
                <w:tcPr>
                  <w:tcW w:w="1596" w:type="pct"/>
                  <w:tcBorders>
                    <w:tl2br w:val="nil"/>
                    <w:tr2bl w:val="nil"/>
                  </w:tcBorders>
                  <w:noWrap w:val="0"/>
                  <w:vAlign w:val="center"/>
                </w:tcPr>
                <w:p w14:paraId="45F59256">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本项目位于金坛区儒林现代产业园，属于</w:t>
                  </w:r>
                  <w:r>
                    <w:rPr>
                      <w:rFonts w:hint="eastAsia" w:cs="Times New Roman"/>
                      <w:color w:val="auto"/>
                      <w:kern w:val="0"/>
                      <w:sz w:val="21"/>
                      <w:szCs w:val="21"/>
                      <w:lang w:val="en-US" w:eastAsia="zh-CN"/>
                    </w:rPr>
                    <w:t>常州市金坛儒林污水处理厂</w:t>
                  </w:r>
                  <w:r>
                    <w:rPr>
                      <w:rFonts w:hint="default" w:ascii="Times New Roman" w:hAnsi="Times New Roman" w:eastAsia="宋体" w:cs="Times New Roman"/>
                      <w:color w:val="auto"/>
                      <w:kern w:val="0"/>
                      <w:sz w:val="21"/>
                      <w:szCs w:val="21"/>
                      <w:lang w:val="en-US" w:eastAsia="zh-CN"/>
                    </w:rPr>
                    <w:t>收水范围内，且项目周边污水管网已铺设到位，项目产生的生活污水能够顺利接入</w:t>
                  </w:r>
                  <w:r>
                    <w:rPr>
                      <w:rFonts w:hint="eastAsia" w:cs="Times New Roman"/>
                      <w:color w:val="auto"/>
                      <w:kern w:val="0"/>
                      <w:sz w:val="21"/>
                      <w:szCs w:val="21"/>
                      <w:lang w:val="en-US" w:eastAsia="zh-CN"/>
                    </w:rPr>
                    <w:t>常州市金坛儒林污水处理厂</w:t>
                  </w:r>
                  <w:r>
                    <w:rPr>
                      <w:rFonts w:hint="default" w:ascii="Times New Roman" w:hAnsi="Times New Roman" w:eastAsia="宋体" w:cs="Times New Roman"/>
                      <w:color w:val="auto"/>
                      <w:kern w:val="0"/>
                      <w:sz w:val="21"/>
                      <w:szCs w:val="21"/>
                      <w:lang w:val="en-US" w:eastAsia="zh-CN"/>
                    </w:rPr>
                    <w:t>集中处理。</w:t>
                  </w:r>
                </w:p>
                <w:p w14:paraId="5AE13A67">
                  <w:pPr>
                    <w:keepNext w:val="0"/>
                    <w:keepLines w:val="0"/>
                    <w:pageBreakBefore w:val="0"/>
                    <w:kinsoku/>
                    <w:wordWrap/>
                    <w:overflowPunct/>
                    <w:topLinePunct w:val="0"/>
                    <w:bidi w:val="0"/>
                    <w:spacing w:line="240" w:lineRule="auto"/>
                    <w:ind w:firstLine="0" w:firstLineChars="0"/>
                    <w:contextualSpacing/>
                    <w:jc w:val="both"/>
                    <w:textAlignment w:val="auto"/>
                    <w:rPr>
                      <w:rFonts w:hint="default" w:ascii="Times New Roman" w:hAnsi="Times New Roman" w:eastAsia="宋体" w:cs="Times New Roman"/>
                      <w:color w:val="auto"/>
                      <w:sz w:val="21"/>
                      <w:szCs w:val="21"/>
                    </w:rPr>
                  </w:pPr>
                </w:p>
              </w:tc>
              <w:tc>
                <w:tcPr>
                  <w:tcW w:w="316" w:type="pct"/>
                  <w:tcBorders>
                    <w:tl2br w:val="nil"/>
                    <w:tr2bl w:val="nil"/>
                  </w:tcBorders>
                  <w:noWrap w:val="0"/>
                  <w:vAlign w:val="center"/>
                </w:tcPr>
                <w:p w14:paraId="62B7A728">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291B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3051DE1C">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rPr>
                    <w:t>严守环境质量底线，严格生态环境准入要求，推动产业绿色转型升级。根据国家和江苏省、常州市关于大气、水、土壤污染防治相关要求和区域“三线一单”成果，明确园区环境质量改善阶段目标，制定园区污染物减排方案及污染物总量管控要求，采取有效措施控制主要污染物和特征污染物数量，严格控制危险废物增量，实现区域环境质量持续改善，实现产业发展与城市发展、生态环境保护相协调。提出碳达峰、碳中和目标，落实碳排放管控要求。强化生态环境准入要求，引进项目的生产工艺、设备、能耗、污染物排放、资源利用等均须达到同类行业先进水平。大力推进产业结构优化升级，全面提升现有产业的技术水平。按照《报告书》建议的措施要求，列出工业企业整治提升计划，按时完成规范化整治和关闭清退工作;列出居民搬迁计划并落实</w:t>
                  </w:r>
                  <w:r>
                    <w:rPr>
                      <w:rFonts w:hint="eastAsia" w:cs="Times New Roman"/>
                      <w:color w:val="auto"/>
                      <w:kern w:val="0"/>
                      <w:sz w:val="21"/>
                      <w:szCs w:val="21"/>
                      <w:lang w:eastAsia="zh-CN"/>
                    </w:rPr>
                    <w:t>。</w:t>
                  </w:r>
                </w:p>
              </w:tc>
              <w:tc>
                <w:tcPr>
                  <w:tcW w:w="1596" w:type="pct"/>
                  <w:tcBorders>
                    <w:tl2br w:val="nil"/>
                    <w:tr2bl w:val="nil"/>
                  </w:tcBorders>
                  <w:noWrap w:val="0"/>
                  <w:vAlign w:val="center"/>
                </w:tcPr>
                <w:p w14:paraId="1E0EB43C">
                  <w:pPr>
                    <w:keepNext w:val="0"/>
                    <w:keepLines w:val="0"/>
                    <w:pageBreakBefore w:val="0"/>
                    <w:widowControl/>
                    <w:kinsoku/>
                    <w:wordWrap/>
                    <w:overflowPunct/>
                    <w:topLinePunct w:val="0"/>
                    <w:bidi w:val="0"/>
                    <w:spacing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本项目</w:t>
                  </w:r>
                  <w:r>
                    <w:rPr>
                      <w:rFonts w:hint="default" w:ascii="Times New Roman" w:hAnsi="Times New Roman" w:eastAsia="宋体" w:cs="Times New Roman"/>
                      <w:color w:val="auto"/>
                      <w:kern w:val="0"/>
                      <w:sz w:val="21"/>
                      <w:szCs w:val="21"/>
                      <w:lang w:val="en-US" w:eastAsia="zh-CN"/>
                    </w:rPr>
                    <w:t>的建设符合</w:t>
                  </w:r>
                  <w:r>
                    <w:rPr>
                      <w:rFonts w:hint="default" w:ascii="Times New Roman" w:hAnsi="Times New Roman" w:eastAsia="宋体" w:cs="Times New Roman"/>
                      <w:color w:val="auto"/>
                      <w:kern w:val="0"/>
                      <w:sz w:val="21"/>
                      <w:szCs w:val="21"/>
                    </w:rPr>
                    <w:t>国家和江苏省、常州市关于大气、水、土壤污染防治相关要求和区域“三线一单”成果</w:t>
                  </w:r>
                  <w:r>
                    <w:rPr>
                      <w:rFonts w:hint="default" w:ascii="Times New Roman" w:hAnsi="Times New Roman" w:eastAsia="宋体" w:cs="Times New Roman"/>
                      <w:color w:val="auto"/>
                      <w:kern w:val="0"/>
                      <w:sz w:val="21"/>
                      <w:szCs w:val="21"/>
                      <w:lang w:val="en-US" w:eastAsia="zh-CN"/>
                    </w:rPr>
                    <w:t>要求</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项目产生的</w:t>
                  </w:r>
                  <w:r>
                    <w:rPr>
                      <w:rFonts w:hint="default" w:ascii="Times New Roman" w:hAnsi="Times New Roman" w:eastAsia="宋体" w:cs="Times New Roman"/>
                      <w:color w:val="auto"/>
                      <w:kern w:val="0"/>
                      <w:sz w:val="21"/>
                      <w:szCs w:val="21"/>
                      <w:lang w:val="en-US" w:eastAsia="zh-CN"/>
                    </w:rPr>
                    <w:t>废气</w:t>
                  </w:r>
                  <w:r>
                    <w:rPr>
                      <w:rFonts w:hint="default" w:ascii="Times New Roman" w:hAnsi="Times New Roman" w:eastAsia="宋体" w:cs="Times New Roman"/>
                      <w:color w:val="auto"/>
                      <w:kern w:val="0"/>
                      <w:sz w:val="21"/>
                      <w:szCs w:val="21"/>
                    </w:rPr>
                    <w:t>经</w:t>
                  </w:r>
                  <w:r>
                    <w:rPr>
                      <w:rFonts w:hint="default" w:ascii="Times New Roman" w:hAnsi="Times New Roman" w:eastAsia="宋体" w:cs="Times New Roman"/>
                      <w:color w:val="auto"/>
                      <w:kern w:val="0"/>
                      <w:sz w:val="21"/>
                      <w:szCs w:val="21"/>
                      <w:lang w:val="en-US" w:eastAsia="zh-CN"/>
                    </w:rPr>
                    <w:t>废气处理设施</w:t>
                  </w:r>
                  <w:r>
                    <w:rPr>
                      <w:rFonts w:hint="default" w:ascii="Times New Roman" w:hAnsi="Times New Roman" w:eastAsia="宋体" w:cs="Times New Roman"/>
                      <w:color w:val="auto"/>
                      <w:kern w:val="0"/>
                      <w:sz w:val="21"/>
                      <w:szCs w:val="21"/>
                    </w:rPr>
                    <w:t>处理后</w:t>
                  </w:r>
                  <w:r>
                    <w:rPr>
                      <w:rFonts w:hint="default" w:ascii="Times New Roman" w:hAnsi="Times New Roman" w:eastAsia="宋体" w:cs="Times New Roman"/>
                      <w:color w:val="auto"/>
                      <w:kern w:val="0"/>
                      <w:sz w:val="21"/>
                      <w:szCs w:val="21"/>
                      <w:lang w:val="en-US" w:eastAsia="zh-CN"/>
                    </w:rPr>
                    <w:t>可</w:t>
                  </w:r>
                  <w:r>
                    <w:rPr>
                      <w:rFonts w:hint="default" w:ascii="Times New Roman" w:hAnsi="Times New Roman" w:eastAsia="宋体" w:cs="Times New Roman"/>
                      <w:color w:val="auto"/>
                      <w:kern w:val="0"/>
                      <w:sz w:val="21"/>
                      <w:szCs w:val="21"/>
                    </w:rPr>
                    <w:t>达标排放</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项目严格执行环保“三同时”制度，履行</w:t>
                  </w:r>
                  <w:r>
                    <w:rPr>
                      <w:rFonts w:hint="default" w:ascii="Times New Roman" w:hAnsi="Times New Roman" w:eastAsia="宋体" w:cs="Times New Roman"/>
                      <w:color w:val="auto"/>
                      <w:kern w:val="0"/>
                      <w:sz w:val="21"/>
                      <w:szCs w:val="21"/>
                      <w:lang w:eastAsia="zh-CN"/>
                    </w:rPr>
                    <w:t>完</w:t>
                  </w:r>
                  <w:r>
                    <w:rPr>
                      <w:rFonts w:hint="default" w:ascii="Times New Roman" w:hAnsi="Times New Roman" w:eastAsia="宋体" w:cs="Times New Roman"/>
                      <w:color w:val="auto"/>
                      <w:kern w:val="0"/>
                      <w:sz w:val="21"/>
                      <w:szCs w:val="21"/>
                    </w:rPr>
                    <w:t>环保审批手续后再开工建设。</w:t>
                  </w:r>
                </w:p>
              </w:tc>
              <w:tc>
                <w:tcPr>
                  <w:tcW w:w="316" w:type="pct"/>
                  <w:tcBorders>
                    <w:tl2br w:val="nil"/>
                    <w:tr2bl w:val="nil"/>
                  </w:tcBorders>
                  <w:noWrap w:val="0"/>
                  <w:vAlign w:val="center"/>
                </w:tcPr>
                <w:p w14:paraId="3535EE71">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kern w:val="44"/>
                      <w:sz w:val="21"/>
                      <w:szCs w:val="21"/>
                      <w:lang w:val="en-US" w:eastAsia="zh-CN" w:bidi="ar-SA"/>
                    </w:rPr>
                  </w:pPr>
                  <w:r>
                    <w:rPr>
                      <w:rFonts w:hint="default" w:ascii="Times New Roman" w:hAnsi="Times New Roman" w:eastAsia="宋体" w:cs="Times New Roman"/>
                      <w:color w:val="auto"/>
                      <w:sz w:val="21"/>
                      <w:szCs w:val="21"/>
                    </w:rPr>
                    <w:t>相符</w:t>
                  </w:r>
                </w:p>
              </w:tc>
            </w:tr>
            <w:tr w14:paraId="329DA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220CE584">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完善环境监测监控体系，提升环境风险应急能力。建立环境要素的监控体系，每年开展环境质量跟踪监测，明确责任主体和实施时限等，重点关注居住区大气环境质量变化情况。加快推进园区环境质量监测系统、视频监控系统、环境应急管理系统建设，完善环境管理电子台账。根据监测结果并结合环境影响、区域污染物控制措施实施的进度和效果，适时优化调整规划实施。加强园区环境风险防范应急体系建设，完善园区应急预案，强化环境应急队伍建设和物资储备，加强应急演练</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严格环境风险源头防控，强化重点企业和区域环境风险评估</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完善应急响应联动机制，切实保障区域生态安全。</w:t>
                  </w:r>
                </w:p>
              </w:tc>
              <w:tc>
                <w:tcPr>
                  <w:tcW w:w="1596" w:type="pct"/>
                  <w:tcBorders>
                    <w:tl2br w:val="nil"/>
                    <w:tr2bl w:val="nil"/>
                  </w:tcBorders>
                  <w:noWrap w:val="0"/>
                  <w:vAlign w:val="center"/>
                </w:tcPr>
                <w:p w14:paraId="4E2C2F5A">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本项目建设过程制定风险防范措施，运营过程定期演练，编制完善突发环境事件应急预案。</w:t>
                  </w:r>
                </w:p>
              </w:tc>
              <w:tc>
                <w:tcPr>
                  <w:tcW w:w="316" w:type="pct"/>
                  <w:tcBorders>
                    <w:tl2br w:val="nil"/>
                    <w:tr2bl w:val="nil"/>
                  </w:tcBorders>
                  <w:noWrap w:val="0"/>
                  <w:vAlign w:val="center"/>
                </w:tcPr>
                <w:p w14:paraId="28A780D7">
                  <w:pPr>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51DBD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76A7A1D5">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完善环境基础设施建设。园区实施雨污分流、清污分流和污水集中处理，企业废水须分类收集、分质处理，经预处理达到污水处理厂接管标准后方可接管。加强园区固体废物的集中处理处置，危险废物交由有资质的单位处置。加快推进区内天然气管网和雨污管网建设。针对园区目前存在的水环境问题制定整治方案，以点带面组织开展区域水环境综合整治逐步恢复水环境功能。</w:t>
                  </w:r>
                </w:p>
              </w:tc>
              <w:tc>
                <w:tcPr>
                  <w:tcW w:w="1596" w:type="pct"/>
                  <w:tcBorders>
                    <w:tl2br w:val="nil"/>
                    <w:tr2bl w:val="nil"/>
                  </w:tcBorders>
                  <w:noWrap w:val="0"/>
                  <w:vAlign w:val="center"/>
                </w:tcPr>
                <w:p w14:paraId="3E5DC6EB">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项目</w:t>
                  </w:r>
                  <w:r>
                    <w:rPr>
                      <w:rFonts w:hint="default" w:ascii="Times New Roman" w:hAnsi="Times New Roman" w:eastAsia="宋体" w:cs="Times New Roman"/>
                      <w:color w:val="auto"/>
                      <w:kern w:val="0"/>
                      <w:sz w:val="21"/>
                      <w:szCs w:val="21"/>
                    </w:rPr>
                    <w:t>实施雨污分流</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lang w:val="en-US" w:eastAsia="zh-CN"/>
                    </w:rPr>
                    <w:t>雨水经园区雨水管网收集后排入附近的儒林河；生活污水接管至</w:t>
                  </w:r>
                  <w:r>
                    <w:rPr>
                      <w:rFonts w:hint="eastAsia" w:cs="Times New Roman"/>
                      <w:color w:val="auto"/>
                      <w:kern w:val="0"/>
                      <w:sz w:val="21"/>
                      <w:szCs w:val="21"/>
                      <w:lang w:val="en-US" w:eastAsia="zh-CN"/>
                    </w:rPr>
                    <w:t>常州市金坛儒林污水处理厂</w:t>
                  </w:r>
                  <w:r>
                    <w:rPr>
                      <w:rFonts w:hint="default" w:ascii="Times New Roman" w:hAnsi="Times New Roman" w:eastAsia="宋体" w:cs="Times New Roman"/>
                      <w:color w:val="auto"/>
                      <w:kern w:val="0"/>
                      <w:sz w:val="21"/>
                      <w:szCs w:val="21"/>
                      <w:lang w:val="en-US" w:eastAsia="zh-CN"/>
                    </w:rPr>
                    <w:t>处理；项目危废委托</w:t>
                  </w:r>
                  <w:r>
                    <w:rPr>
                      <w:rFonts w:hint="default" w:ascii="Times New Roman" w:hAnsi="Times New Roman" w:eastAsia="宋体" w:cs="Times New Roman"/>
                      <w:color w:val="auto"/>
                      <w:kern w:val="0"/>
                      <w:sz w:val="21"/>
                      <w:szCs w:val="21"/>
                    </w:rPr>
                    <w:t>有资质的单位处置</w:t>
                  </w:r>
                  <w:r>
                    <w:rPr>
                      <w:rFonts w:hint="default" w:ascii="Times New Roman" w:hAnsi="Times New Roman" w:eastAsia="宋体" w:cs="Times New Roman"/>
                      <w:color w:val="auto"/>
                      <w:kern w:val="0"/>
                      <w:sz w:val="21"/>
                      <w:szCs w:val="21"/>
                      <w:lang w:eastAsia="zh-CN"/>
                    </w:rPr>
                    <w:t>。</w:t>
                  </w:r>
                </w:p>
              </w:tc>
              <w:tc>
                <w:tcPr>
                  <w:tcW w:w="316" w:type="pct"/>
                  <w:tcBorders>
                    <w:tl2br w:val="nil"/>
                    <w:tr2bl w:val="nil"/>
                  </w:tcBorders>
                  <w:noWrap w:val="0"/>
                  <w:vAlign w:val="center"/>
                </w:tcPr>
                <w:p w14:paraId="7A33F145">
                  <w:pPr>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68500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340" w:hRule="atLeast"/>
                <w:jc w:val="center"/>
              </w:trPr>
              <w:tc>
                <w:tcPr>
                  <w:tcW w:w="3086" w:type="pct"/>
                  <w:tcBorders>
                    <w:tl2br w:val="nil"/>
                    <w:tr2bl w:val="nil"/>
                  </w:tcBorders>
                  <w:noWrap w:val="0"/>
                  <w:vAlign w:val="center"/>
                </w:tcPr>
                <w:p w14:paraId="2562809E">
                  <w:pPr>
                    <w:keepNext w:val="0"/>
                    <w:keepLines w:val="0"/>
                    <w:pageBreakBefore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加强污染源监控。强化颗粒物、VOCs等污染物的控制与治理，最大限度减少无组织废气排放</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按照《报告书》提出的总量控制要求严格控制园区重点污染物排放总量</w:t>
                  </w:r>
                  <w:r>
                    <w:rPr>
                      <w:rFonts w:hint="default" w:ascii="Times New Roman" w:hAnsi="Times New Roman" w:eastAsia="宋体" w:cs="Times New Roman"/>
                      <w:color w:val="auto"/>
                      <w:kern w:val="0"/>
                      <w:sz w:val="21"/>
                      <w:szCs w:val="21"/>
                      <w:lang w:eastAsia="zh-CN"/>
                    </w:rPr>
                    <w:t>。入园企业需按要求安装废水、废气在线监控设施，明确在线监测因子并与当地环保部门联网</w:t>
                  </w:r>
                  <w:r>
                    <w:rPr>
                      <w:rFonts w:hint="eastAsia" w:cs="Times New Roman"/>
                      <w:color w:val="auto"/>
                      <w:kern w:val="0"/>
                      <w:sz w:val="21"/>
                      <w:szCs w:val="21"/>
                      <w:lang w:eastAsia="zh-CN"/>
                    </w:rPr>
                    <w:t>。</w:t>
                  </w:r>
                </w:p>
              </w:tc>
              <w:tc>
                <w:tcPr>
                  <w:tcW w:w="1596" w:type="pct"/>
                  <w:tcBorders>
                    <w:tl2br w:val="nil"/>
                    <w:tr2bl w:val="nil"/>
                  </w:tcBorders>
                  <w:noWrap w:val="0"/>
                  <w:vAlign w:val="center"/>
                </w:tcPr>
                <w:p w14:paraId="79D9F745">
                  <w:pPr>
                    <w:keepNext w:val="0"/>
                    <w:keepLines w:val="0"/>
                    <w:pageBreakBefore w:val="0"/>
                    <w:widowControl/>
                    <w:kinsoku/>
                    <w:wordWrap/>
                    <w:overflowPunct/>
                    <w:topLinePunct w:val="0"/>
                    <w:bidi w:val="0"/>
                    <w:spacing w:line="240" w:lineRule="auto"/>
                    <w:ind w:firstLine="0" w:firstLineChars="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本项目生产过程中产生颗粒物</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lang w:val="en-US" w:eastAsia="zh-CN"/>
                    </w:rPr>
                    <w:t>非甲烷总烃等废气</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经处理后达标排放，不会对区域大气环境质量造成明显影响。</w:t>
                  </w:r>
                  <w:r>
                    <w:rPr>
                      <w:rFonts w:hint="eastAsia" w:cs="Times New Roman"/>
                      <w:color w:val="auto"/>
                      <w:kern w:val="0"/>
                      <w:sz w:val="21"/>
                      <w:szCs w:val="21"/>
                      <w:lang w:val="en-US" w:eastAsia="zh-CN"/>
                    </w:rPr>
                    <w:t>本项目无需安装</w:t>
                  </w:r>
                  <w:r>
                    <w:rPr>
                      <w:rFonts w:hint="default" w:ascii="Times New Roman" w:hAnsi="Times New Roman" w:eastAsia="宋体" w:cs="Times New Roman"/>
                      <w:color w:val="auto"/>
                      <w:kern w:val="0"/>
                      <w:sz w:val="21"/>
                      <w:szCs w:val="21"/>
                      <w:lang w:eastAsia="zh-CN"/>
                    </w:rPr>
                    <w:t>废水、废气在线监控设施</w:t>
                  </w:r>
                  <w:r>
                    <w:rPr>
                      <w:rFonts w:hint="eastAsia" w:cs="Times New Roman"/>
                      <w:color w:val="auto"/>
                      <w:kern w:val="0"/>
                      <w:sz w:val="21"/>
                      <w:szCs w:val="21"/>
                      <w:lang w:eastAsia="zh-CN"/>
                    </w:rPr>
                    <w:t>。</w:t>
                  </w:r>
                </w:p>
              </w:tc>
              <w:tc>
                <w:tcPr>
                  <w:tcW w:w="316" w:type="pct"/>
                  <w:tcBorders>
                    <w:tl2br w:val="nil"/>
                    <w:tr2bl w:val="nil"/>
                  </w:tcBorders>
                  <w:noWrap w:val="0"/>
                  <w:vAlign w:val="center"/>
                </w:tcPr>
                <w:p w14:paraId="22077861">
                  <w:pPr>
                    <w:pStyle w:val="119"/>
                    <w:keepNext w:val="0"/>
                    <w:keepLines w:val="0"/>
                    <w:pageBreakBefore w:val="0"/>
                    <w:kinsoku/>
                    <w:wordWrap/>
                    <w:overflowPunct/>
                    <w:topLinePunct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bl>
          <w:p w14:paraId="73D7FA3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环境准入</w:t>
            </w:r>
          </w:p>
          <w:p w14:paraId="1404D934">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 xml:space="preserve">表1-2  </w:t>
            </w:r>
            <w:r>
              <w:rPr>
                <w:rFonts w:hint="default" w:ascii="Times New Roman" w:hAnsi="Times New Roman" w:eastAsia="宋体" w:cs="Times New Roman"/>
                <w:b/>
                <w:bCs/>
                <w:color w:val="auto"/>
                <w:sz w:val="21"/>
                <w:szCs w:val="21"/>
                <w:lang w:val="en-US" w:eastAsia="zh-CN"/>
              </w:rPr>
              <w:t>项目与规划环评</w:t>
            </w:r>
            <w:r>
              <w:rPr>
                <w:rFonts w:hint="default" w:ascii="Times New Roman" w:hAnsi="Times New Roman" w:eastAsia="宋体" w:cs="Times New Roman"/>
                <w:b/>
                <w:bCs/>
                <w:color w:val="auto"/>
                <w:sz w:val="21"/>
                <w:szCs w:val="21"/>
              </w:rPr>
              <w:t>环境准入条件清单</w:t>
            </w:r>
            <w:r>
              <w:rPr>
                <w:rFonts w:hint="default" w:ascii="Times New Roman" w:hAnsi="Times New Roman" w:eastAsia="宋体" w:cs="Times New Roman"/>
                <w:b/>
                <w:bCs/>
                <w:color w:val="auto"/>
                <w:sz w:val="21"/>
                <w:szCs w:val="21"/>
                <w:lang w:val="en-US" w:eastAsia="zh-CN"/>
              </w:rPr>
              <w:t>相符性分析一览表</w:t>
            </w:r>
          </w:p>
          <w:tbl>
            <w:tblPr>
              <w:tblStyle w:val="4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67"/>
              <w:gridCol w:w="5708"/>
              <w:gridCol w:w="2410"/>
              <w:gridCol w:w="584"/>
            </w:tblGrid>
            <w:tr w14:paraId="658996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noWrap w:val="0"/>
                  <w:vAlign w:val="center"/>
                </w:tcPr>
                <w:p w14:paraId="05A207BC">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清单类别</w:t>
                  </w:r>
                </w:p>
              </w:tc>
              <w:tc>
                <w:tcPr>
                  <w:tcW w:w="5708" w:type="dxa"/>
                  <w:tcBorders>
                    <w:tl2br w:val="nil"/>
                    <w:tr2bl w:val="nil"/>
                  </w:tcBorders>
                  <w:noWrap w:val="0"/>
                  <w:vAlign w:val="center"/>
                </w:tcPr>
                <w:p w14:paraId="4DC14150">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准入内容</w:t>
                  </w:r>
                </w:p>
              </w:tc>
              <w:tc>
                <w:tcPr>
                  <w:tcW w:w="2410" w:type="dxa"/>
                  <w:tcBorders>
                    <w:tl2br w:val="nil"/>
                    <w:tr2bl w:val="nil"/>
                  </w:tcBorders>
                  <w:noWrap w:val="0"/>
                  <w:vAlign w:val="center"/>
                </w:tcPr>
                <w:p w14:paraId="582E6EA0">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w:t>
                  </w:r>
                </w:p>
              </w:tc>
              <w:tc>
                <w:tcPr>
                  <w:tcW w:w="584" w:type="dxa"/>
                  <w:tcBorders>
                    <w:tl2br w:val="nil"/>
                    <w:tr2bl w:val="nil"/>
                  </w:tcBorders>
                  <w:noWrap w:val="0"/>
                  <w:vAlign w:val="center"/>
                </w:tcPr>
                <w:p w14:paraId="2B693508">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bCs/>
                      <w:color w:val="auto"/>
                      <w:sz w:val="21"/>
                      <w:szCs w:val="21"/>
                    </w:rPr>
                    <w:t>相符性</w:t>
                  </w:r>
                </w:p>
              </w:tc>
            </w:tr>
            <w:tr w14:paraId="06D3A5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shd w:val="clear" w:color="auto" w:fill="auto"/>
                  <w:noWrap w:val="0"/>
                  <w:vAlign w:val="center"/>
                </w:tcPr>
                <w:p w14:paraId="7A9A034A">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禁止引入</w:t>
                  </w:r>
                </w:p>
              </w:tc>
              <w:tc>
                <w:tcPr>
                  <w:tcW w:w="5708" w:type="dxa"/>
                  <w:tcBorders>
                    <w:tl2br w:val="nil"/>
                    <w:tr2bl w:val="nil"/>
                  </w:tcBorders>
                  <w:shd w:val="clear" w:color="auto" w:fill="auto"/>
                  <w:noWrap w:val="0"/>
                  <w:vAlign w:val="center"/>
                </w:tcPr>
                <w:p w14:paraId="4D671AB2">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(1)新材料:不得新建化工新材料项目;</w:t>
                  </w:r>
                </w:p>
                <w:p w14:paraId="69122AE3">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(2)智能装备制造:含电镀工序;禁止新建铅、汞、铬、镉、砷五类重点重金属污染物排放且无法实现总量平衡的项目;</w:t>
                  </w:r>
                </w:p>
                <w:p w14:paraId="5D8D0A9A">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(3)金属加工制造:含冶炼、铸造、电镀工艺的金属制品业项目;</w:t>
                  </w:r>
                </w:p>
                <w:p w14:paraId="6D4FCEBA">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(4)汽车零部件制造:含电镀工序的项目;未达到《汽车产业发展政策》(国家发展改革委 2004年第8号令)规定的投资主体资格条件及项目准入标准的新建汽车产业投资项目;</w:t>
                  </w:r>
                </w:p>
                <w:p w14:paraId="15B010C4">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rPr>
                    <w:t>(5)其他:①禁止新建、改建、扩建化学制浆造纸、制革、酿造、染料、电镀以及其他排放含磷、氮等污染的企业和项目(城镇污水集中处理等环境基础设施项目和太湖条例第四十六条规定的情形除外):②禁止新建、扩建印染企业，改扩建印染项目:③禁止新建、改建、扩建电镀项目;④禁止新(扩)建排放含汞、砷、镉、铬、铅等重金属以及持久性有机污染物的工业项目;⑤其他属于国家和地方产业政策淘汰类或禁止类的建设项目和工艺。</w:t>
                  </w:r>
                </w:p>
              </w:tc>
              <w:tc>
                <w:tcPr>
                  <w:tcW w:w="2410" w:type="dxa"/>
                  <w:tcBorders>
                    <w:tl2br w:val="nil"/>
                    <w:tr2bl w:val="nil"/>
                  </w:tcBorders>
                  <w:shd w:val="clear" w:color="auto" w:fill="auto"/>
                  <w:noWrap w:val="0"/>
                  <w:vAlign w:val="center"/>
                </w:tcPr>
                <w:p w14:paraId="40216890">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项目不涉及</w:t>
                  </w:r>
                  <w:r>
                    <w:rPr>
                      <w:rFonts w:hint="eastAsia"/>
                      <w:color w:val="auto"/>
                    </w:rPr>
                    <w:t>新建化工新材料项目</w:t>
                  </w:r>
                  <w:r>
                    <w:rPr>
                      <w:rFonts w:hint="default" w:ascii="Times New Roman" w:hAnsi="Times New Roman" w:eastAsia="宋体" w:cs="Times New Roman"/>
                      <w:color w:val="auto"/>
                      <w:sz w:val="21"/>
                      <w:szCs w:val="21"/>
                      <w:lang w:val="en-US" w:eastAsia="zh-CN"/>
                    </w:rPr>
                    <w:t>；</w:t>
                  </w:r>
                </w:p>
                <w:p w14:paraId="745C3206">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kern w:val="0"/>
                      <w:sz w:val="21"/>
                      <w:szCs w:val="21"/>
                      <w:lang w:val="en-US" w:eastAsia="zh-CN"/>
                    </w:rPr>
                    <w:t>本项目从事船舶配件的生产，属于[C2929]塑料零件及其他塑料制品制造。</w:t>
                  </w:r>
                  <w:r>
                    <w:rPr>
                      <w:rFonts w:hint="eastAsia" w:ascii="Times New Roman" w:hAnsi="Times New Roman" w:eastAsia="宋体" w:cs="Times New Roman"/>
                      <w:color w:val="auto"/>
                      <w:kern w:val="0"/>
                      <w:sz w:val="21"/>
                      <w:szCs w:val="21"/>
                      <w:lang w:val="en-US" w:eastAsia="zh-CN"/>
                    </w:rPr>
                    <w:t>但是本项目不含</w:t>
                  </w:r>
                  <w:r>
                    <w:rPr>
                      <w:rFonts w:hint="default" w:ascii="Times New Roman" w:hAnsi="Times New Roman" w:eastAsia="宋体" w:cs="Times New Roman"/>
                      <w:color w:val="auto"/>
                      <w:sz w:val="21"/>
                      <w:szCs w:val="21"/>
                    </w:rPr>
                    <w:t>电镀工序</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铅、汞、铬、镉、砷五类重点重金属污染物排放</w:t>
                  </w:r>
                  <w:r>
                    <w:rPr>
                      <w:rFonts w:hint="default" w:ascii="Times New Roman" w:hAnsi="Times New Roman" w:eastAsia="宋体" w:cs="Times New Roman"/>
                      <w:color w:val="auto"/>
                      <w:sz w:val="21"/>
                      <w:szCs w:val="21"/>
                      <w:lang w:val="en-US" w:eastAsia="zh-CN"/>
                    </w:rPr>
                    <w:t>；</w:t>
                  </w:r>
                </w:p>
                <w:p w14:paraId="5190AD7C">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color w:val="auto"/>
                      <w:sz w:val="21"/>
                      <w:szCs w:val="21"/>
                      <w:lang w:val="en-US" w:eastAsia="zh-CN"/>
                    </w:rPr>
                    <w:t>项目不涉及</w:t>
                  </w:r>
                  <w:r>
                    <w:rPr>
                      <w:rFonts w:hint="default" w:ascii="Times New Roman" w:hAnsi="Times New Roman" w:eastAsia="宋体" w:cs="Times New Roman"/>
                      <w:color w:val="auto"/>
                      <w:sz w:val="21"/>
                      <w:szCs w:val="21"/>
                    </w:rPr>
                    <w:t>含冶炼、铸造、电镀工艺的金属制品业项目</w:t>
                  </w:r>
                  <w:r>
                    <w:rPr>
                      <w:rFonts w:hint="default" w:ascii="Times New Roman" w:hAnsi="Times New Roman" w:eastAsia="宋体" w:cs="Times New Roman"/>
                      <w:color w:val="auto"/>
                      <w:sz w:val="21"/>
                      <w:szCs w:val="21"/>
                      <w:lang w:val="en-US" w:eastAsia="zh-CN"/>
                    </w:rPr>
                    <w:t>；</w:t>
                  </w:r>
                </w:p>
                <w:p w14:paraId="3A4B2D3C">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rPr>
                    <w:t>（4）</w:t>
                  </w:r>
                  <w:r>
                    <w:rPr>
                      <w:rFonts w:hint="eastAsia" w:cs="Times New Roman"/>
                      <w:color w:val="auto"/>
                      <w:sz w:val="21"/>
                      <w:szCs w:val="21"/>
                      <w:lang w:val="en-US" w:eastAsia="zh-CN"/>
                    </w:rPr>
                    <w:t>本项目不属于</w:t>
                  </w:r>
                  <w:r>
                    <w:rPr>
                      <w:rFonts w:hint="default" w:ascii="Times New Roman" w:hAnsi="Times New Roman" w:eastAsia="宋体" w:cs="Times New Roman"/>
                      <w:color w:val="auto"/>
                      <w:sz w:val="21"/>
                      <w:szCs w:val="21"/>
                    </w:rPr>
                    <w:t>化学制浆造纸、制革、酿造、染料、电镀以及其他排放含磷、氮等污染的企业和项目</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不属于印染企业；不属于电镀项目；</w:t>
                  </w:r>
                  <w:r>
                    <w:rPr>
                      <w:rFonts w:hint="default" w:ascii="Times New Roman" w:hAnsi="Times New Roman" w:eastAsia="宋体" w:cs="Times New Roman"/>
                      <w:color w:val="auto"/>
                      <w:sz w:val="21"/>
                      <w:szCs w:val="21"/>
                      <w:lang w:val="en-US" w:eastAsia="zh-CN"/>
                    </w:rPr>
                    <w:t>不属于</w:t>
                  </w:r>
                  <w:r>
                    <w:rPr>
                      <w:rFonts w:hint="default" w:ascii="Times New Roman" w:hAnsi="Times New Roman" w:eastAsia="宋体" w:cs="Times New Roman"/>
                      <w:b w:val="0"/>
                      <w:bCs w:val="0"/>
                      <w:color w:val="auto"/>
                      <w:sz w:val="21"/>
                      <w:szCs w:val="21"/>
                      <w:lang w:val="en-US" w:eastAsia="zh-CN"/>
                    </w:rPr>
                    <w:t>《产业结构调整指导目录》中明确的淘汰类、禁止类项目</w:t>
                  </w:r>
                  <w:r>
                    <w:rPr>
                      <w:rFonts w:hint="eastAsia" w:cs="Times New Roman"/>
                      <w:b w:val="0"/>
                      <w:bCs w:val="0"/>
                      <w:color w:val="auto"/>
                      <w:sz w:val="21"/>
                      <w:szCs w:val="21"/>
                      <w:lang w:val="en-US" w:eastAsia="zh-CN"/>
                    </w:rPr>
                    <w:t>。</w:t>
                  </w:r>
                </w:p>
              </w:tc>
              <w:tc>
                <w:tcPr>
                  <w:tcW w:w="584" w:type="dxa"/>
                  <w:tcBorders>
                    <w:tl2br w:val="nil"/>
                    <w:tr2bl w:val="nil"/>
                  </w:tcBorders>
                  <w:noWrap w:val="0"/>
                  <w:vAlign w:val="center"/>
                </w:tcPr>
                <w:p w14:paraId="1471DA18">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r w14:paraId="0F82B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noWrap w:val="0"/>
                  <w:vAlign w:val="center"/>
                </w:tcPr>
                <w:p w14:paraId="398FFBD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空间管控要求</w:t>
                  </w:r>
                </w:p>
              </w:tc>
              <w:tc>
                <w:tcPr>
                  <w:tcW w:w="5708" w:type="dxa"/>
                  <w:tcBorders>
                    <w:tl2br w:val="nil"/>
                    <w:tr2bl w:val="nil"/>
                  </w:tcBorders>
                  <w:noWrap w:val="0"/>
                  <w:vAlign w:val="center"/>
                </w:tcPr>
                <w:p w14:paraId="5548FEB7">
                  <w:pPr>
                    <w:pStyle w:val="128"/>
                    <w:keepNext w:val="0"/>
                    <w:keepLines w:val="0"/>
                    <w:pageBreakBefore w:val="0"/>
                    <w:widowControl w:val="0"/>
                    <w:numPr>
                      <w:ilvl w:val="0"/>
                      <w:numId w:val="2"/>
                    </w:numPr>
                    <w:kinsoku/>
                    <w:wordWrap/>
                    <w:overflowPunct/>
                    <w:topLinePunct w:val="0"/>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水域及绿地，禁止一切与环境保护功能无关的建设活动;</w:t>
                  </w:r>
                </w:p>
                <w:p w14:paraId="32F9EC2D">
                  <w:pPr>
                    <w:pStyle w:val="128"/>
                    <w:keepNext w:val="0"/>
                    <w:keepLines w:val="0"/>
                    <w:pageBreakBefore w:val="0"/>
                    <w:widowControl w:val="0"/>
                    <w:numPr>
                      <w:ilvl w:val="0"/>
                      <w:numId w:val="2"/>
                    </w:numPr>
                    <w:kinsoku/>
                    <w:wordWrap/>
                    <w:overflowPunct/>
                    <w:topLinePunct w:val="0"/>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北干河沿岸河道范围内(两岸堤防背水坡堤脚外10m)禁止建设妨碍行洪的建筑物、构筑物;</w:t>
                  </w:r>
                </w:p>
                <w:p w14:paraId="72C5B4A4">
                  <w:pPr>
                    <w:pStyle w:val="128"/>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(3)禁止引进不能满足环评测算出的环境防护距离，或环评事故风险防范和应急措施难以落实到位的项目;</w:t>
                  </w:r>
                </w:p>
                <w:p w14:paraId="4A577D76">
                  <w:pPr>
                    <w:pStyle w:val="128"/>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(4)园区远期控制用地规模，将占用基本农田的用地保留不开发，或者基本农田的开发需满足《基本农田保护条例》要求，并具体地块的开发需与新一轮土地利用规划相一致;</w:t>
                  </w:r>
                </w:p>
                <w:p w14:paraId="4D42CF53">
                  <w:pPr>
                    <w:pStyle w:val="128"/>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(5)限制引进投资强度小、容积率低、土地产出率低的项目。</w:t>
                  </w:r>
                </w:p>
              </w:tc>
              <w:tc>
                <w:tcPr>
                  <w:tcW w:w="2410" w:type="dxa"/>
                  <w:tcBorders>
                    <w:tl2br w:val="nil"/>
                    <w:tr2bl w:val="nil"/>
                  </w:tcBorders>
                  <w:noWrap w:val="0"/>
                  <w:vAlign w:val="center"/>
                </w:tcPr>
                <w:p w14:paraId="5BECA2BD">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w:t>
                  </w:r>
                  <w:r>
                    <w:rPr>
                      <w:rFonts w:hint="default" w:ascii="Times New Roman" w:hAnsi="Times New Roman" w:eastAsia="宋体" w:cs="Times New Roman"/>
                      <w:b w:val="0"/>
                      <w:bCs w:val="0"/>
                      <w:color w:val="auto"/>
                      <w:sz w:val="21"/>
                      <w:szCs w:val="21"/>
                      <w:lang w:val="en-US" w:eastAsia="zh-CN"/>
                    </w:rPr>
                    <w:t>项目用地为工业用地，不涉及</w:t>
                  </w:r>
                  <w:r>
                    <w:rPr>
                      <w:rFonts w:hint="default" w:ascii="Times New Roman" w:hAnsi="Times New Roman" w:eastAsia="宋体" w:cs="Times New Roman"/>
                      <w:color w:val="auto"/>
                      <w:sz w:val="21"/>
                      <w:szCs w:val="21"/>
                    </w:rPr>
                    <w:t>水域及绿地</w:t>
                  </w:r>
                  <w:r>
                    <w:rPr>
                      <w:rFonts w:hint="default" w:ascii="Times New Roman" w:hAnsi="Times New Roman" w:eastAsia="宋体" w:cs="Times New Roman"/>
                      <w:color w:val="auto"/>
                      <w:sz w:val="21"/>
                      <w:szCs w:val="21"/>
                      <w:lang w:eastAsia="zh-CN"/>
                    </w:rPr>
                    <w:t>；</w:t>
                  </w:r>
                </w:p>
                <w:p w14:paraId="03EE0AE8">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项目不在</w:t>
                  </w:r>
                  <w:r>
                    <w:rPr>
                      <w:rFonts w:hint="default" w:ascii="Times New Roman" w:hAnsi="Times New Roman" w:eastAsia="宋体" w:cs="Times New Roman"/>
                      <w:color w:val="auto"/>
                      <w:sz w:val="21"/>
                      <w:szCs w:val="21"/>
                    </w:rPr>
                    <w:t>北干河沿岸河道范围内</w:t>
                  </w:r>
                  <w:r>
                    <w:rPr>
                      <w:rFonts w:hint="default" w:ascii="Times New Roman" w:hAnsi="Times New Roman" w:eastAsia="宋体" w:cs="Times New Roman"/>
                      <w:color w:val="auto"/>
                      <w:sz w:val="21"/>
                      <w:szCs w:val="21"/>
                      <w:lang w:eastAsia="zh-CN"/>
                    </w:rPr>
                    <w:t>；</w:t>
                  </w:r>
                </w:p>
                <w:p w14:paraId="4F18D975">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val="en-US" w:eastAsia="zh-CN"/>
                    </w:rPr>
                    <w:t>项目卫生防护距离内无环境保护目标。</w:t>
                  </w:r>
                  <w:r>
                    <w:rPr>
                      <w:rFonts w:hint="default" w:ascii="Times New Roman" w:hAnsi="Times New Roman" w:eastAsia="宋体" w:cs="Times New Roman"/>
                      <w:color w:val="auto"/>
                      <w:sz w:val="21"/>
                      <w:szCs w:val="21"/>
                      <w:lang w:val="en-US" w:eastAsia="zh-CN"/>
                    </w:rPr>
                    <w:t>项目建成后将严格落实</w:t>
                  </w:r>
                  <w:r>
                    <w:rPr>
                      <w:rFonts w:hint="default" w:ascii="Times New Roman" w:hAnsi="Times New Roman" w:eastAsia="宋体" w:cs="Times New Roman"/>
                      <w:color w:val="auto"/>
                      <w:sz w:val="21"/>
                      <w:szCs w:val="21"/>
                    </w:rPr>
                    <w:t>事故风险防范和应急措施</w:t>
                  </w:r>
                  <w:r>
                    <w:rPr>
                      <w:rFonts w:hint="default" w:ascii="Times New Roman" w:hAnsi="Times New Roman" w:eastAsia="宋体" w:cs="Times New Roman"/>
                      <w:b w:val="0"/>
                      <w:bCs w:val="0"/>
                      <w:color w:val="auto"/>
                      <w:sz w:val="21"/>
                      <w:szCs w:val="21"/>
                      <w:lang w:val="en-US" w:eastAsia="zh-CN"/>
                    </w:rPr>
                    <w:t>。</w:t>
                  </w:r>
                </w:p>
                <w:p w14:paraId="16A70F55">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lang w:val="en-US" w:eastAsia="zh-CN"/>
                    </w:rPr>
                    <w:t>项目用地为工业用地</w:t>
                  </w:r>
                  <w:r>
                    <w:rPr>
                      <w:rFonts w:hint="eastAsia" w:ascii="Times New Roman" w:hAnsi="Times New Roman" w:eastAsia="宋体" w:cs="Times New Roman"/>
                      <w:b w:val="0"/>
                      <w:bCs w:val="0"/>
                      <w:color w:val="auto"/>
                      <w:sz w:val="21"/>
                      <w:szCs w:val="21"/>
                      <w:lang w:val="en-US" w:eastAsia="zh-CN"/>
                    </w:rPr>
                    <w:t>。</w:t>
                  </w:r>
                </w:p>
                <w:p w14:paraId="107D179F">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（5）本项目占地面积小，土地资源配置效率高，能够推动园区经济质量发展。</w:t>
                  </w:r>
                </w:p>
              </w:tc>
              <w:tc>
                <w:tcPr>
                  <w:tcW w:w="584" w:type="dxa"/>
                  <w:tcBorders>
                    <w:tl2br w:val="nil"/>
                    <w:tr2bl w:val="nil"/>
                  </w:tcBorders>
                  <w:noWrap w:val="0"/>
                  <w:vAlign w:val="center"/>
                </w:tcPr>
                <w:p w14:paraId="000118F4">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r w14:paraId="2100B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noWrap w:val="0"/>
                  <w:vAlign w:val="center"/>
                </w:tcPr>
                <w:p w14:paraId="7E1B2B3E">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污染物排放管控</w:t>
                  </w:r>
                </w:p>
              </w:tc>
              <w:tc>
                <w:tcPr>
                  <w:tcW w:w="5708" w:type="dxa"/>
                  <w:tcBorders>
                    <w:tl2br w:val="nil"/>
                    <w:tr2bl w:val="nil"/>
                  </w:tcBorders>
                  <w:noWrap w:val="0"/>
                  <w:vAlign w:val="center"/>
                </w:tcPr>
                <w:p w14:paraId="34F24AA0">
                  <w:pPr>
                    <w:pStyle w:val="119"/>
                    <w:keepNext w:val="0"/>
                    <w:keepLines w:val="0"/>
                    <w:pageBreakBefore w:val="0"/>
                    <w:widowControl w:val="0"/>
                    <w:numPr>
                      <w:ilvl w:val="0"/>
                      <w:numId w:val="3"/>
                    </w:numPr>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积极落实国家、省总量控制要求，对排放二氧化硫、氮氧化物、工业粉尘和挥发性有机物的项目实施区域内现役源2倍削减替代或关闭类项目1.5倍削减替代。</w:t>
                  </w:r>
                </w:p>
                <w:p w14:paraId="63CDF028">
                  <w:pPr>
                    <w:pStyle w:val="119"/>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(2)废气污染物总量:SO,9.262ta、NOx34.111ta、烟粉尘 46.477ta、VOCs 33.154ta甲苯 0.098ta、二甲苯1.282t/a、HS 0.157t/a;</w:t>
                  </w:r>
                </w:p>
                <w:p w14:paraId="31350DCE">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(3)废水污染物总量:废水量 47.94 万 t/a、COD 23.937t/a、SS 4.794ta、氨氮 1.198ta总磷 0.324ta、总氮 5.754ta。</w:t>
                  </w:r>
                </w:p>
              </w:tc>
              <w:tc>
                <w:tcPr>
                  <w:tcW w:w="2410" w:type="dxa"/>
                  <w:tcBorders>
                    <w:tl2br w:val="nil"/>
                    <w:tr2bl w:val="nil"/>
                  </w:tcBorders>
                  <w:noWrap w:val="0"/>
                  <w:vAlign w:val="center"/>
                </w:tcPr>
                <w:p w14:paraId="637437CF">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项目大气污染物颗粒物、非甲烷总烃进行污染物总量2倍减量替代；项目排放的颗粒物、非甲烷总烃废气总量</w:t>
                  </w:r>
                  <w:r>
                    <w:rPr>
                      <w:rFonts w:hint="eastAsia" w:cs="Times New Roman"/>
                      <w:b w:val="0"/>
                      <w:bCs w:val="0"/>
                      <w:color w:val="auto"/>
                      <w:sz w:val="21"/>
                      <w:szCs w:val="21"/>
                      <w:lang w:val="en-US" w:eastAsia="zh-CN"/>
                    </w:rPr>
                    <w:t>及废水污染物总量</w:t>
                  </w:r>
                  <w:r>
                    <w:rPr>
                      <w:rFonts w:hint="default" w:ascii="Times New Roman" w:hAnsi="Times New Roman" w:eastAsia="宋体" w:cs="Times New Roman"/>
                      <w:b w:val="0"/>
                      <w:bCs w:val="0"/>
                      <w:color w:val="auto"/>
                      <w:sz w:val="21"/>
                      <w:szCs w:val="21"/>
                      <w:lang w:val="en-US" w:eastAsia="zh-CN"/>
                    </w:rPr>
                    <w:t>不会突破园区污染物排放总量</w:t>
                  </w:r>
                  <w:r>
                    <w:rPr>
                      <w:rFonts w:hint="eastAsia" w:cs="Times New Roman"/>
                      <w:b w:val="0"/>
                      <w:bCs w:val="0"/>
                      <w:color w:val="auto"/>
                      <w:sz w:val="21"/>
                      <w:szCs w:val="21"/>
                      <w:lang w:val="en-US" w:eastAsia="zh-CN"/>
                    </w:rPr>
                    <w:t>。</w:t>
                  </w:r>
                </w:p>
              </w:tc>
              <w:tc>
                <w:tcPr>
                  <w:tcW w:w="584" w:type="dxa"/>
                  <w:tcBorders>
                    <w:tl2br w:val="nil"/>
                    <w:tr2bl w:val="nil"/>
                  </w:tcBorders>
                  <w:noWrap w:val="0"/>
                  <w:vAlign w:val="center"/>
                </w:tcPr>
                <w:p w14:paraId="5AC2EFCE">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r w14:paraId="5ED1C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noWrap w:val="0"/>
                  <w:vAlign w:val="center"/>
                </w:tcPr>
                <w:p w14:paraId="70213B9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环境风险防控</w:t>
                  </w:r>
                </w:p>
              </w:tc>
              <w:tc>
                <w:tcPr>
                  <w:tcW w:w="5708" w:type="dxa"/>
                  <w:tcBorders>
                    <w:tl2br w:val="nil"/>
                    <w:tr2bl w:val="nil"/>
                  </w:tcBorders>
                  <w:noWrap w:val="0"/>
                  <w:vAlign w:val="center"/>
                </w:tcPr>
                <w:p w14:paraId="72FD2313">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(1)园区应建立完善环境风险防控体系;</w:t>
                  </w:r>
                </w:p>
                <w:p w14:paraId="271F534F">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(2)建立有效的安全防范体系，制定风险应急救援措施，一旦发生事故确保各项应急救援快速高效有序启动，减缓事故蔓延范围，最大限度减轻风险事故造成的损失。</w:t>
                  </w:r>
                </w:p>
              </w:tc>
              <w:tc>
                <w:tcPr>
                  <w:tcW w:w="2410" w:type="dxa"/>
                  <w:tcBorders>
                    <w:tl2br w:val="nil"/>
                    <w:tr2bl w:val="nil"/>
                  </w:tcBorders>
                  <w:noWrap w:val="0"/>
                  <w:vAlign w:val="center"/>
                </w:tcPr>
                <w:p w14:paraId="5442006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kern w:val="0"/>
                      <w:sz w:val="21"/>
                      <w:szCs w:val="21"/>
                    </w:rPr>
                    <w:t>本项目建设过程制定风险防范措施，运营过程定期演练，编制完善突发环境事件应急预案。</w:t>
                  </w:r>
                </w:p>
              </w:tc>
              <w:tc>
                <w:tcPr>
                  <w:tcW w:w="584" w:type="dxa"/>
                  <w:tcBorders>
                    <w:tl2br w:val="nil"/>
                    <w:tr2bl w:val="nil"/>
                  </w:tcBorders>
                  <w:noWrap w:val="0"/>
                  <w:vAlign w:val="center"/>
                </w:tcPr>
                <w:p w14:paraId="0B2F9752">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r w14:paraId="303C2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dxa"/>
                  <w:tcBorders>
                    <w:tl2br w:val="nil"/>
                    <w:tr2bl w:val="nil"/>
                  </w:tcBorders>
                  <w:noWrap w:val="0"/>
                  <w:vAlign w:val="center"/>
                </w:tcPr>
                <w:p w14:paraId="37374DE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资源开发利用要求</w:t>
                  </w:r>
                </w:p>
              </w:tc>
              <w:tc>
                <w:tcPr>
                  <w:tcW w:w="5708" w:type="dxa"/>
                  <w:tcBorders>
                    <w:tl2br w:val="nil"/>
                    <w:tr2bl w:val="nil"/>
                  </w:tcBorders>
                  <w:noWrap w:val="0"/>
                  <w:vAlign w:val="center"/>
                </w:tcPr>
                <w:p w14:paraId="4DA39439">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(1)大力倡导使用清洁能源;</w:t>
                  </w:r>
                </w:p>
                <w:p w14:paraId="26818DE7">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(2)提升废水资源化技术，提高水资源回用率;</w:t>
                  </w:r>
                </w:p>
                <w:p w14:paraId="4B49D7FA">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禁止销售使用燃料为“Ⅲ类”(严格)，具体包括:①煤炭及其制品(包括原煤散煤煤矸石、煤泥、煤粉、水煤浆、型煤、焦炭、兰炭等);②石油焦、油页岩、原油、重油、渣油、煤焦油;③非专用锅炉或未配置高效除尘设施的专用锅炉燃用的生物质成型燃料;④国家规定的其它高污染燃料;</w:t>
                  </w:r>
                </w:p>
                <w:p w14:paraId="0F662DA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(4)资源利用上线:单位工业增加值综合能耗&lt;0.07吨标煤/万元;单位工业增加值新鲜水耗&lt;0.8m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/万元;单位工业用地面积工业增加值&gt;15亿元/km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2410" w:type="dxa"/>
                  <w:tcBorders>
                    <w:tl2br w:val="nil"/>
                    <w:tr2bl w:val="nil"/>
                  </w:tcBorders>
                  <w:noWrap w:val="0"/>
                  <w:vAlign w:val="center"/>
                </w:tcPr>
                <w:p w14:paraId="40262D8B">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项目使用</w:t>
                  </w:r>
                  <w:r>
                    <w:rPr>
                      <w:rFonts w:hint="default" w:ascii="Times New Roman" w:hAnsi="Times New Roman" w:eastAsia="宋体" w:cs="Times New Roman"/>
                      <w:color w:val="auto"/>
                      <w:sz w:val="21"/>
                      <w:szCs w:val="21"/>
                    </w:rPr>
                    <w:t>清洁能源</w:t>
                  </w:r>
                  <w:r>
                    <w:rPr>
                      <w:rFonts w:hint="default" w:ascii="Times New Roman" w:hAnsi="Times New Roman" w:eastAsia="宋体" w:cs="Times New Roman"/>
                      <w:color w:val="auto"/>
                      <w:sz w:val="21"/>
                      <w:szCs w:val="21"/>
                      <w:lang w:val="en-US" w:eastAsia="zh-CN"/>
                    </w:rPr>
                    <w:t>电力；</w:t>
                  </w:r>
                </w:p>
                <w:p w14:paraId="7E8F4212">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项目冷却用水循环使用；</w:t>
                  </w:r>
                </w:p>
                <w:p w14:paraId="1D4188B6">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项目不使用</w:t>
                  </w:r>
                  <w:r>
                    <w:rPr>
                      <w:rFonts w:hint="default" w:ascii="Times New Roman" w:hAnsi="Times New Roman" w:eastAsia="宋体" w:cs="Times New Roman"/>
                      <w:color w:val="auto"/>
                      <w:sz w:val="21"/>
                      <w:szCs w:val="21"/>
                    </w:rPr>
                    <w:t>“Ⅲ类”类燃料</w:t>
                  </w:r>
                  <w:r>
                    <w:rPr>
                      <w:rFonts w:hint="default" w:ascii="Times New Roman" w:hAnsi="Times New Roman" w:eastAsia="宋体" w:cs="Times New Roman"/>
                      <w:color w:val="auto"/>
                      <w:sz w:val="21"/>
                      <w:szCs w:val="21"/>
                      <w:lang w:eastAsia="zh-CN"/>
                    </w:rPr>
                    <w:t>；</w:t>
                  </w:r>
                </w:p>
                <w:p w14:paraId="4320CD8A">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4</w:t>
                  </w:r>
                  <w:r>
                    <w:rPr>
                      <w:rFonts w:hint="default" w:ascii="Times New Roman" w:hAnsi="Times New Roman" w:eastAsia="宋体" w:cs="Times New Roman"/>
                      <w:color w:val="auto"/>
                      <w:sz w:val="21"/>
                      <w:szCs w:val="21"/>
                    </w:rPr>
                    <w:t>）</w:t>
                  </w:r>
                  <w:r>
                    <w:rPr>
                      <w:rFonts w:hint="default" w:ascii="Times New Roman" w:hAnsi="Times New Roman" w:eastAsia="宋体" w:cs="Times New Roman"/>
                      <w:b w:val="0"/>
                      <w:bCs w:val="0"/>
                      <w:color w:val="auto"/>
                      <w:sz w:val="21"/>
                      <w:szCs w:val="21"/>
                      <w:lang w:val="en-US" w:eastAsia="zh-CN"/>
                    </w:rPr>
                    <w:t>项目单位工业增加值综合能耗约0.0</w:t>
                  </w:r>
                  <w:r>
                    <w:rPr>
                      <w:rFonts w:hint="eastAsia"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吨标煤/万元；项目单位工业增加值新鲜水耗约0.</w:t>
                  </w:r>
                  <w:r>
                    <w:rPr>
                      <w:rFonts w:hint="eastAsia" w:cs="Times New Roman"/>
                      <w:b w:val="0"/>
                      <w:bCs w:val="0"/>
                      <w:color w:val="auto"/>
                      <w:sz w:val="21"/>
                      <w:szCs w:val="21"/>
                      <w:lang w:val="en-US" w:eastAsia="zh-CN"/>
                    </w:rPr>
                    <w:t>25</w:t>
                  </w:r>
                  <w:r>
                    <w:rPr>
                      <w:rFonts w:hint="default" w:ascii="Times New Roman" w:hAnsi="Times New Roman" w:eastAsia="宋体" w:cs="Times New Roman"/>
                      <w:b w:val="0"/>
                      <w:bCs w:val="0"/>
                      <w:color w:val="auto"/>
                      <w:sz w:val="21"/>
                      <w:szCs w:val="21"/>
                      <w:lang w:val="en-US" w:eastAsia="zh-CN"/>
                    </w:rPr>
                    <w:t>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lang w:val="en-US" w:eastAsia="zh-CN"/>
                    </w:rPr>
                    <w:t>/万元</w:t>
                  </w:r>
                  <w:r>
                    <w:rPr>
                      <w:rFonts w:hint="eastAsia" w:cs="Times New Roman"/>
                      <w:b w:val="0"/>
                      <w:bCs w:val="0"/>
                      <w:color w:val="auto"/>
                      <w:sz w:val="21"/>
                      <w:szCs w:val="21"/>
                      <w:lang w:val="en-US" w:eastAsia="zh-CN"/>
                    </w:rPr>
                    <w:t>；</w:t>
                  </w:r>
                  <w:r>
                    <w:rPr>
                      <w:rFonts w:hint="default" w:ascii="Times New Roman" w:hAnsi="Times New Roman" w:eastAsia="宋体" w:cs="Times New Roman"/>
                      <w:color w:val="auto"/>
                      <w:sz w:val="21"/>
                      <w:szCs w:val="21"/>
                    </w:rPr>
                    <w:t>单位工业用地面积工业增加值</w:t>
                  </w:r>
                  <w:r>
                    <w:rPr>
                      <w:rFonts w:hint="default" w:ascii="Times New Roman" w:hAnsi="Times New Roman" w:eastAsia="宋体" w:cs="Times New Roman"/>
                      <w:color w:val="auto"/>
                      <w:sz w:val="21"/>
                      <w:szCs w:val="21"/>
                      <w:lang w:val="en-US" w:eastAsia="zh-CN"/>
                    </w:rPr>
                    <w:t>约</w:t>
                  </w:r>
                  <w:r>
                    <w:rPr>
                      <w:rFonts w:hint="eastAsia" w:cs="Times New Roman"/>
                      <w:color w:val="auto"/>
                      <w:sz w:val="21"/>
                      <w:szCs w:val="21"/>
                      <w:lang w:val="en-US" w:eastAsia="zh-CN"/>
                    </w:rPr>
                    <w:t>94</w:t>
                  </w:r>
                  <w:r>
                    <w:rPr>
                      <w:rFonts w:hint="default" w:ascii="Times New Roman" w:hAnsi="Times New Roman" w:eastAsia="宋体" w:cs="Times New Roman"/>
                      <w:color w:val="auto"/>
                      <w:sz w:val="21"/>
                      <w:szCs w:val="21"/>
                    </w:rPr>
                    <w:t>亿元/km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b w:val="0"/>
                      <w:bCs w:val="0"/>
                      <w:color w:val="auto"/>
                      <w:sz w:val="21"/>
                      <w:szCs w:val="21"/>
                      <w:lang w:val="en-US" w:eastAsia="zh-CN"/>
                    </w:rPr>
                    <w:t>。</w:t>
                  </w:r>
                </w:p>
              </w:tc>
              <w:tc>
                <w:tcPr>
                  <w:tcW w:w="584" w:type="dxa"/>
                  <w:tcBorders>
                    <w:tl2br w:val="nil"/>
                    <w:tr2bl w:val="nil"/>
                  </w:tcBorders>
                  <w:noWrap w:val="0"/>
                  <w:vAlign w:val="center"/>
                </w:tcPr>
                <w:p w14:paraId="7E77B18F">
                  <w:pPr>
                    <w:pStyle w:val="119"/>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bl>
          <w:p w14:paraId="21CD2F2B">
            <w:pPr>
              <w:ind w:firstLine="422"/>
              <w:rPr>
                <w:b/>
                <w:bCs/>
                <w:color w:val="auto"/>
                <w:sz w:val="24"/>
                <w:szCs w:val="24"/>
              </w:rPr>
            </w:pPr>
            <w:r>
              <w:rPr>
                <w:b/>
                <w:bCs/>
                <w:color w:val="auto"/>
                <w:sz w:val="24"/>
                <w:szCs w:val="24"/>
              </w:rPr>
              <w:t>本项目</w:t>
            </w:r>
            <w:r>
              <w:rPr>
                <w:rFonts w:hint="eastAsia"/>
                <w:b/>
                <w:bCs/>
                <w:color w:val="auto"/>
                <w:sz w:val="24"/>
                <w:szCs w:val="24"/>
              </w:rPr>
              <w:t>从事船舶配件的生产，属于[C2929]塑料零件及其他塑料制品制造</w:t>
            </w:r>
            <w:r>
              <w:rPr>
                <w:b/>
                <w:bCs/>
                <w:color w:val="auto"/>
                <w:sz w:val="24"/>
                <w:szCs w:val="24"/>
              </w:rPr>
              <w:t>，不违背环境准入条件清单。</w:t>
            </w:r>
          </w:p>
          <w:p w14:paraId="5723FCB1">
            <w:pPr>
              <w:ind w:left="0" w:leftChars="0" w:firstLine="480" w:firstLineChars="200"/>
              <w:rPr>
                <w:rFonts w:hint="default" w:ascii="Times New Roman" w:hAnsi="Times New Roman" w:eastAsia="宋体" w:cs="Times New Roman"/>
                <w:b/>
                <w:bCs/>
                <w:color w:val="auto"/>
                <w:sz w:val="24"/>
                <w:szCs w:val="24"/>
              </w:rPr>
            </w:pPr>
            <w:r>
              <w:rPr>
                <w:b/>
                <w:bCs/>
                <w:color w:val="auto"/>
                <w:sz w:val="24"/>
                <w:szCs w:val="24"/>
              </w:rPr>
              <w:t>综上，本项目建设与</w:t>
            </w:r>
            <w:r>
              <w:rPr>
                <w:b/>
                <w:bCs/>
                <w:color w:val="auto"/>
                <w:sz w:val="24"/>
                <w:szCs w:val="24"/>
                <w:lang w:val="zh-CN"/>
              </w:rPr>
              <w:t>《</w:t>
            </w:r>
            <w:r>
              <w:rPr>
                <w:rFonts w:hint="eastAsia"/>
                <w:b/>
                <w:bCs/>
                <w:color w:val="auto"/>
                <w:sz w:val="24"/>
                <w:szCs w:val="24"/>
                <w:lang w:val="zh-CN"/>
              </w:rPr>
              <w:t>金坛区儒林现代产业园发展规划（2023-2035年）环境影响报告书</w:t>
            </w:r>
            <w:r>
              <w:rPr>
                <w:b/>
                <w:bCs/>
                <w:color w:val="auto"/>
                <w:sz w:val="24"/>
                <w:szCs w:val="24"/>
                <w:lang w:val="zh-CN"/>
              </w:rPr>
              <w:t>）》</w:t>
            </w:r>
            <w:r>
              <w:rPr>
                <w:b/>
                <w:bCs/>
                <w:color w:val="auto"/>
                <w:sz w:val="24"/>
                <w:szCs w:val="24"/>
              </w:rPr>
              <w:t>、规划环评结论及审查意见相符。</w:t>
            </w:r>
          </w:p>
        </w:tc>
      </w:tr>
    </w:tbl>
    <w:p w14:paraId="65405AF4">
      <w:pPr>
        <w:pStyle w:val="2"/>
        <w:ind w:firstLine="420"/>
        <w:rPr>
          <w:rFonts w:hint="default" w:ascii="Times New Roman" w:hAnsi="Times New Roman" w:eastAsia="宋体" w:cs="Times New Roman"/>
          <w:color w:val="auto"/>
        </w:rPr>
        <w:sectPr>
          <w:headerReference r:id="rId5" w:type="default"/>
          <w:footerReference r:id="rId6" w:type="default"/>
          <w:pgSz w:w="11907" w:h="16840"/>
          <w:pgMar w:top="1440" w:right="1080" w:bottom="1440" w:left="1080" w:header="964" w:footer="964" w:gutter="0"/>
          <w:pgBorders w:offsetFrom="page">
            <w:top w:val="none" w:sz="0" w:space="0"/>
            <w:left w:val="none" w:sz="0" w:space="0"/>
            <w:bottom w:val="none" w:sz="0" w:space="0"/>
            <w:right w:val="none" w:sz="0" w:space="0"/>
          </w:pgBorders>
          <w:pgNumType w:start="1"/>
          <w:cols w:space="720" w:num="1"/>
          <w:docGrid w:type="linesAndChars" w:linePitch="312" w:charSpace="0"/>
        </w:sectPr>
      </w:pPr>
    </w:p>
    <w:tbl>
      <w:tblPr>
        <w:tblStyle w:val="44"/>
        <w:tblW w:w="99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9"/>
        <w:gridCol w:w="9481"/>
      </w:tblGrid>
      <w:tr w14:paraId="347A33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dxa"/>
            <w:noWrap w:val="0"/>
            <w:vAlign w:val="center"/>
          </w:tcPr>
          <w:p w14:paraId="2A1ECBBE">
            <w:pPr>
              <w:spacing w:line="24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其他相符性分析</w:t>
            </w:r>
          </w:p>
        </w:tc>
        <w:tc>
          <w:tcPr>
            <w:tcW w:w="9481" w:type="dxa"/>
            <w:noWrap w:val="0"/>
            <w:vAlign w:val="top"/>
          </w:tcPr>
          <w:p w14:paraId="64603EC9">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1</w:t>
            </w:r>
            <w:r>
              <w:rPr>
                <w:rFonts w:hint="default" w:ascii="Times New Roman" w:hAnsi="Times New Roman" w:eastAsia="宋体" w:cs="Times New Roman"/>
                <w:b/>
                <w:color w:val="auto"/>
                <w:sz w:val="24"/>
                <w:szCs w:val="24"/>
              </w:rPr>
              <w:t>、产业政策相符性分析</w:t>
            </w:r>
          </w:p>
          <w:p w14:paraId="638D24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表1-</w:t>
            </w:r>
            <w:r>
              <w:rPr>
                <w:rFonts w:hint="eastAsia" w:cs="Times New Roman"/>
                <w:b/>
                <w:bCs/>
                <w:color w:val="auto"/>
                <w:kern w:val="2"/>
                <w:sz w:val="21"/>
                <w:szCs w:val="21"/>
                <w:lang w:val="en-US" w:eastAsia="zh-CN" w:bidi="ar-SA"/>
              </w:rPr>
              <w:t>3</w:t>
            </w:r>
            <w:r>
              <w:rPr>
                <w:rFonts w:hint="default" w:ascii="Times New Roman" w:hAnsi="Times New Roman" w:eastAsia="宋体" w:cs="Times New Roman"/>
                <w:b/>
                <w:bCs/>
                <w:color w:val="auto"/>
                <w:kern w:val="2"/>
                <w:sz w:val="21"/>
                <w:szCs w:val="21"/>
                <w:lang w:val="en-US" w:eastAsia="zh-CN" w:bidi="ar-SA"/>
              </w:rPr>
              <w:t xml:space="preserve"> 与产业政策相符性分析</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776"/>
              <w:gridCol w:w="6824"/>
              <w:gridCol w:w="973"/>
            </w:tblGrid>
            <w:tr w14:paraId="081B1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6CFC84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序号</w:t>
                  </w:r>
                </w:p>
              </w:tc>
              <w:tc>
                <w:tcPr>
                  <w:tcW w:w="419" w:type="pct"/>
                  <w:tcBorders>
                    <w:tl2br w:val="nil"/>
                    <w:tr2bl w:val="nil"/>
                  </w:tcBorders>
                  <w:noWrap w:val="0"/>
                  <w:vAlign w:val="center"/>
                </w:tcPr>
                <w:p w14:paraId="27139A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判断类型</w:t>
                  </w:r>
                </w:p>
              </w:tc>
              <w:tc>
                <w:tcPr>
                  <w:tcW w:w="3684" w:type="pct"/>
                  <w:tcBorders>
                    <w:tl2br w:val="nil"/>
                    <w:tr2bl w:val="nil"/>
                  </w:tcBorders>
                  <w:noWrap w:val="0"/>
                  <w:vAlign w:val="center"/>
                </w:tcPr>
                <w:p w14:paraId="6C5077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对照简析</w:t>
                  </w:r>
                </w:p>
              </w:tc>
              <w:tc>
                <w:tcPr>
                  <w:tcW w:w="525" w:type="pct"/>
                  <w:tcBorders>
                    <w:tl2br w:val="nil"/>
                    <w:tr2bl w:val="nil"/>
                  </w:tcBorders>
                  <w:noWrap w:val="0"/>
                  <w:vAlign w:val="center"/>
                </w:tcPr>
                <w:p w14:paraId="7CD931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相符性</w:t>
                  </w:r>
                </w:p>
              </w:tc>
            </w:tr>
            <w:tr w14:paraId="146C97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680080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419" w:type="pct"/>
                  <w:vMerge w:val="restart"/>
                  <w:tcBorders>
                    <w:tl2br w:val="nil"/>
                    <w:tr2bl w:val="nil"/>
                  </w:tcBorders>
                  <w:noWrap w:val="0"/>
                  <w:vAlign w:val="center"/>
                </w:tcPr>
                <w:p w14:paraId="1F3361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产业政策</w:t>
                  </w:r>
                </w:p>
              </w:tc>
              <w:tc>
                <w:tcPr>
                  <w:tcW w:w="3684" w:type="pct"/>
                  <w:tcBorders>
                    <w:tl2br w:val="nil"/>
                    <w:tr2bl w:val="nil"/>
                  </w:tcBorders>
                  <w:noWrap w:val="0"/>
                  <w:vAlign w:val="center"/>
                </w:tcPr>
                <w:p w14:paraId="60362D44">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w:t>
                  </w:r>
                  <w:r>
                    <w:rPr>
                      <w:rFonts w:hint="default" w:ascii="Times New Roman" w:hAnsi="Times New Roman" w:eastAsia="宋体" w:cs="Times New Roman"/>
                      <w:color w:val="auto"/>
                      <w:sz w:val="21"/>
                      <w:szCs w:val="21"/>
                    </w:rPr>
                    <w:t>属于</w:t>
                  </w:r>
                  <w:r>
                    <w:rPr>
                      <w:rFonts w:hint="default" w:ascii="Times New Roman" w:hAnsi="Times New Roman" w:eastAsia="宋体" w:cs="Times New Roman"/>
                      <w:color w:val="auto"/>
                      <w:sz w:val="21"/>
                      <w:szCs w:val="21"/>
                      <w:lang w:val="en-US" w:eastAsia="zh-CN"/>
                    </w:rPr>
                    <w:t>C2929塑料零件及其他塑料制品制造</w:t>
                  </w:r>
                  <w:r>
                    <w:rPr>
                      <w:rFonts w:hint="default" w:ascii="Times New Roman" w:hAnsi="Times New Roman" w:eastAsia="宋体" w:cs="Times New Roman"/>
                      <w:color w:val="auto"/>
                      <w:kern w:val="2"/>
                      <w:sz w:val="21"/>
                      <w:szCs w:val="21"/>
                      <w:lang w:val="en-US" w:eastAsia="zh-CN" w:bidi="ar-SA"/>
                    </w:rPr>
                    <w:t>，生产船舶配件，采用的生产工艺、设备等均不属于《产业结构调整指导目录（2024年本）》中限制类和淘汰类项目</w:t>
                  </w:r>
                </w:p>
              </w:tc>
              <w:tc>
                <w:tcPr>
                  <w:tcW w:w="525" w:type="pct"/>
                  <w:tcBorders>
                    <w:tl2br w:val="nil"/>
                    <w:tr2bl w:val="nil"/>
                  </w:tcBorders>
                  <w:noWrap w:val="0"/>
                  <w:vAlign w:val="center"/>
                </w:tcPr>
                <w:p w14:paraId="3C2998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0BC32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48CF1A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419" w:type="pct"/>
                  <w:vMerge w:val="continue"/>
                  <w:tcBorders>
                    <w:tl2br w:val="nil"/>
                    <w:tr2bl w:val="nil"/>
                  </w:tcBorders>
                  <w:noWrap w:val="0"/>
                  <w:vAlign w:val="center"/>
                </w:tcPr>
                <w:p w14:paraId="72CB6D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38D5927B">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本项目属于“C2929塑料零件及其他塑料制品制造”，经对照不属于《江苏省产业结构调整限制、淘汰和禁止目录（2018年本）》中限制、淘汰和禁止类有关条款。</w:t>
                  </w:r>
                </w:p>
              </w:tc>
              <w:tc>
                <w:tcPr>
                  <w:tcW w:w="525" w:type="pct"/>
                  <w:tcBorders>
                    <w:tl2br w:val="nil"/>
                    <w:tr2bl w:val="nil"/>
                  </w:tcBorders>
                  <w:noWrap w:val="0"/>
                  <w:vAlign w:val="center"/>
                </w:tcPr>
                <w:p w14:paraId="62C8AA2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76D0AE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714136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19" w:type="pct"/>
                  <w:vMerge w:val="continue"/>
                  <w:tcBorders>
                    <w:tl2br w:val="nil"/>
                    <w:tr2bl w:val="nil"/>
                  </w:tcBorders>
                  <w:noWrap w:val="0"/>
                  <w:vAlign w:val="center"/>
                </w:tcPr>
                <w:p w14:paraId="1A9BED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5CECCB34">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本项目属于</w:t>
                  </w:r>
                  <w:r>
                    <w:rPr>
                      <w:rFonts w:hint="default" w:ascii="Times New Roman" w:hAnsi="Times New Roman" w:eastAsia="宋体" w:cs="Times New Roman"/>
                      <w:color w:val="auto"/>
                      <w:sz w:val="21"/>
                      <w:szCs w:val="21"/>
                      <w:lang w:val="en-US" w:eastAsia="zh-CN"/>
                    </w:rPr>
                    <w:t>C2929塑料零件及其他塑料制品制造</w:t>
                  </w:r>
                  <w:r>
                    <w:rPr>
                      <w:rFonts w:hint="default" w:ascii="Times New Roman" w:hAnsi="Times New Roman" w:eastAsia="宋体" w:cs="Times New Roman"/>
                      <w:color w:val="auto"/>
                      <w:kern w:val="2"/>
                      <w:sz w:val="21"/>
                      <w:szCs w:val="21"/>
                      <w:lang w:val="en-US" w:eastAsia="zh-CN" w:bidi="ar-SA"/>
                    </w:rPr>
                    <w:t>，不属于《长江经济带发展负面清单指南（试行，2022年版）》未列入长江经济带发展负面清单，也不属于《市场准入负面清单（2025年版）》中禁止准入类</w:t>
                  </w:r>
                </w:p>
              </w:tc>
              <w:tc>
                <w:tcPr>
                  <w:tcW w:w="525" w:type="pct"/>
                  <w:tcBorders>
                    <w:tl2br w:val="nil"/>
                    <w:tr2bl w:val="nil"/>
                  </w:tcBorders>
                  <w:noWrap w:val="0"/>
                  <w:vAlign w:val="center"/>
                </w:tcPr>
                <w:p w14:paraId="49AE7A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4C399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2C9E2E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19" w:type="pct"/>
                  <w:vMerge w:val="continue"/>
                  <w:tcBorders>
                    <w:tl2br w:val="nil"/>
                    <w:tr2bl w:val="nil"/>
                  </w:tcBorders>
                  <w:noWrap w:val="0"/>
                  <w:vAlign w:val="center"/>
                </w:tcPr>
                <w:p w14:paraId="0CBC2A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7E3D0333">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本项目产品不在《江苏省太湖流域禁止和限制的产品目录（2024年本）》（苏发改规发〔2024〕3号）中禁止和限制的产业产品目录范围</w:t>
                  </w:r>
                  <w:r>
                    <w:rPr>
                      <w:rFonts w:hint="default" w:ascii="Times New Roman" w:hAnsi="Times New Roman" w:eastAsia="宋体" w:cs="Times New Roman"/>
                      <w:color w:val="auto"/>
                      <w:kern w:val="2"/>
                      <w:sz w:val="21"/>
                      <w:szCs w:val="21"/>
                      <w:lang w:val="en-US" w:eastAsia="zh-CN" w:bidi="ar-SA"/>
                    </w:rPr>
                    <w:tab/>
                  </w:r>
                </w:p>
              </w:tc>
              <w:tc>
                <w:tcPr>
                  <w:tcW w:w="525" w:type="pct"/>
                  <w:tcBorders>
                    <w:tl2br w:val="nil"/>
                    <w:tr2bl w:val="nil"/>
                  </w:tcBorders>
                  <w:noWrap w:val="0"/>
                  <w:vAlign w:val="center"/>
                </w:tcPr>
                <w:p w14:paraId="38B437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18C2C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188CBB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19" w:type="pct"/>
                  <w:vMerge w:val="continue"/>
                  <w:tcBorders>
                    <w:tl2br w:val="nil"/>
                    <w:tr2bl w:val="nil"/>
                  </w:tcBorders>
                  <w:noWrap w:val="0"/>
                  <w:vAlign w:val="center"/>
                </w:tcPr>
                <w:p w14:paraId="274209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0C447AFD">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本项目产品不属于《环境保护综合名录》（2021年版）中“高污染、高环境风险”产品名录范围</w:t>
                  </w:r>
                  <w:r>
                    <w:rPr>
                      <w:rFonts w:hint="default" w:ascii="Times New Roman" w:hAnsi="Times New Roman" w:eastAsia="宋体" w:cs="Times New Roman"/>
                      <w:color w:val="auto"/>
                      <w:kern w:val="2"/>
                      <w:sz w:val="21"/>
                      <w:szCs w:val="21"/>
                      <w:lang w:val="en-US" w:eastAsia="zh-CN" w:bidi="ar-SA"/>
                    </w:rPr>
                    <w:tab/>
                  </w:r>
                </w:p>
              </w:tc>
              <w:tc>
                <w:tcPr>
                  <w:tcW w:w="525" w:type="pct"/>
                  <w:tcBorders>
                    <w:tl2br w:val="nil"/>
                    <w:tr2bl w:val="nil"/>
                  </w:tcBorders>
                  <w:noWrap w:val="0"/>
                  <w:vAlign w:val="center"/>
                </w:tcPr>
                <w:p w14:paraId="42CDB8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是</w:t>
                  </w:r>
                </w:p>
              </w:tc>
            </w:tr>
            <w:tr w14:paraId="2E46D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47B934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419" w:type="pct"/>
                  <w:vMerge w:val="continue"/>
                  <w:tcBorders>
                    <w:tl2br w:val="nil"/>
                    <w:tr2bl w:val="nil"/>
                  </w:tcBorders>
                  <w:noWrap w:val="0"/>
                  <w:vAlign w:val="center"/>
                </w:tcPr>
                <w:p w14:paraId="25A4A0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740CE631">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本项目属于C2929塑料零件及其他塑料制品制造，不属于《江苏省 “两高” 项目管理目录（2025年版）》中“两高” 项目范围</w:t>
                  </w:r>
                  <w:r>
                    <w:rPr>
                      <w:rFonts w:hint="default" w:ascii="Times New Roman" w:hAnsi="Times New Roman" w:eastAsia="宋体" w:cs="Times New Roman"/>
                      <w:color w:val="auto"/>
                      <w:kern w:val="2"/>
                      <w:sz w:val="21"/>
                      <w:szCs w:val="21"/>
                      <w:lang w:val="en-US" w:eastAsia="zh-CN" w:bidi="ar-SA"/>
                    </w:rPr>
                    <w:tab/>
                  </w:r>
                </w:p>
              </w:tc>
              <w:tc>
                <w:tcPr>
                  <w:tcW w:w="525" w:type="pct"/>
                  <w:tcBorders>
                    <w:tl2br w:val="nil"/>
                    <w:tr2bl w:val="nil"/>
                  </w:tcBorders>
                  <w:noWrap w:val="0"/>
                  <w:vAlign w:val="center"/>
                </w:tcPr>
                <w:p w14:paraId="387D41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是</w:t>
                  </w:r>
                </w:p>
              </w:tc>
            </w:tr>
            <w:tr w14:paraId="2DA5C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0" w:type="pct"/>
                  <w:tcBorders>
                    <w:tl2br w:val="nil"/>
                    <w:tr2bl w:val="nil"/>
                  </w:tcBorders>
                  <w:noWrap w:val="0"/>
                  <w:vAlign w:val="center"/>
                </w:tcPr>
                <w:p w14:paraId="14C53E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419" w:type="pct"/>
                  <w:vMerge w:val="continue"/>
                  <w:tcBorders>
                    <w:tl2br w:val="nil"/>
                    <w:tr2bl w:val="nil"/>
                  </w:tcBorders>
                  <w:noWrap w:val="0"/>
                  <w:vAlign w:val="center"/>
                </w:tcPr>
                <w:p w14:paraId="1AC4DA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684" w:type="pct"/>
                  <w:tcBorders>
                    <w:tl2br w:val="nil"/>
                    <w:tr2bl w:val="nil"/>
                  </w:tcBorders>
                  <w:noWrap w:val="0"/>
                  <w:vAlign w:val="center"/>
                </w:tcPr>
                <w:p w14:paraId="49D1E6B4">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本项目已</w:t>
                  </w:r>
                  <w:r>
                    <w:rPr>
                      <w:rFonts w:hint="default" w:ascii="Times New Roman" w:hAnsi="Times New Roman" w:eastAsia="宋体" w:cs="Times New Roman"/>
                      <w:b w:val="0"/>
                      <w:bCs/>
                      <w:color w:val="auto"/>
                      <w:sz w:val="21"/>
                      <w:szCs w:val="21"/>
                      <w:lang w:val="en-US" w:eastAsia="zh-CN"/>
                    </w:rPr>
                    <w:t>于</w:t>
                  </w:r>
                  <w:r>
                    <w:rPr>
                      <w:rFonts w:hint="default" w:ascii="Times New Roman" w:hAnsi="Times New Roman" w:eastAsia="宋体" w:cs="Times New Roman"/>
                      <w:color w:val="auto"/>
                      <w:sz w:val="21"/>
                      <w:szCs w:val="21"/>
                      <w:lang w:eastAsia="zh-CN"/>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年</w:t>
                  </w:r>
                  <w:r>
                    <w:rPr>
                      <w:rFonts w:hint="eastAsia" w:cs="Times New Roman"/>
                      <w:color w:val="auto"/>
                      <w:sz w:val="21"/>
                      <w:szCs w:val="21"/>
                      <w:lang w:val="en-US" w:eastAsia="zh-CN"/>
                    </w:rPr>
                    <w:t>6</w:t>
                  </w:r>
                  <w:r>
                    <w:rPr>
                      <w:rFonts w:hint="default" w:ascii="Times New Roman" w:hAnsi="Times New Roman" w:eastAsia="宋体" w:cs="Times New Roman"/>
                      <w:color w:val="auto"/>
                      <w:sz w:val="21"/>
                      <w:szCs w:val="21"/>
                      <w:lang w:val="en-US" w:eastAsia="zh-CN"/>
                    </w:rPr>
                    <w:t>月2</w:t>
                  </w:r>
                  <w:r>
                    <w:rPr>
                      <w:rFonts w:hint="eastAsia"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日</w:t>
                  </w:r>
                  <w:r>
                    <w:rPr>
                      <w:rFonts w:hint="default" w:ascii="Times New Roman" w:hAnsi="Times New Roman" w:eastAsia="宋体" w:cs="Times New Roman"/>
                      <w:color w:val="auto"/>
                      <w:kern w:val="2"/>
                      <w:sz w:val="21"/>
                      <w:szCs w:val="21"/>
                      <w:lang w:val="en-US" w:eastAsia="zh-CN" w:bidi="ar-SA"/>
                    </w:rPr>
                    <w:t>在</w:t>
                  </w:r>
                  <w:r>
                    <w:rPr>
                      <w:rFonts w:hint="default" w:ascii="Times New Roman" w:hAnsi="Times New Roman" w:eastAsia="宋体" w:cs="Times New Roman"/>
                      <w:b w:val="0"/>
                      <w:bCs/>
                      <w:color w:val="auto"/>
                      <w:sz w:val="21"/>
                      <w:szCs w:val="21"/>
                      <w:lang w:val="en-US" w:eastAsia="zh-CN"/>
                    </w:rPr>
                    <w:t>常州市金坛区发展和改革局</w:t>
                  </w:r>
                  <w:r>
                    <w:rPr>
                      <w:rFonts w:hint="default" w:ascii="Times New Roman" w:hAnsi="Times New Roman" w:eastAsia="宋体" w:cs="Times New Roman"/>
                      <w:color w:val="auto"/>
                      <w:kern w:val="2"/>
                      <w:sz w:val="21"/>
                      <w:szCs w:val="21"/>
                      <w:lang w:val="en-US" w:eastAsia="zh-CN" w:bidi="ar-SA"/>
                    </w:rPr>
                    <w:t>进行了备案（</w:t>
                  </w:r>
                  <w:r>
                    <w:rPr>
                      <w:rFonts w:hint="default" w:ascii="Times New Roman" w:hAnsi="Times New Roman" w:eastAsia="宋体" w:cs="Times New Roman"/>
                      <w:color w:val="auto"/>
                      <w:sz w:val="21"/>
                      <w:szCs w:val="21"/>
                      <w:lang w:eastAsia="zh-CN"/>
                    </w:rPr>
                    <w:t>坛发改备〔2025〕</w:t>
                  </w:r>
                  <w:r>
                    <w:rPr>
                      <w:rFonts w:hint="eastAsia" w:cs="Times New Roman"/>
                      <w:color w:val="auto"/>
                      <w:sz w:val="21"/>
                      <w:szCs w:val="21"/>
                      <w:lang w:val="en-US" w:eastAsia="zh-CN"/>
                    </w:rPr>
                    <w:t>988</w:t>
                  </w:r>
                  <w:r>
                    <w:rPr>
                      <w:rFonts w:hint="default" w:ascii="Times New Roman" w:hAnsi="Times New Roman" w:eastAsia="宋体" w:cs="Times New Roman"/>
                      <w:color w:val="auto"/>
                      <w:sz w:val="21"/>
                      <w:szCs w:val="21"/>
                      <w:lang w:eastAsia="zh-CN"/>
                    </w:rPr>
                    <w:t>号</w:t>
                  </w:r>
                  <w:r>
                    <w:rPr>
                      <w:rFonts w:hint="default" w:ascii="Times New Roman" w:hAnsi="Times New Roman" w:eastAsia="宋体" w:cs="Times New Roman"/>
                      <w:color w:val="auto"/>
                      <w:kern w:val="2"/>
                      <w:sz w:val="21"/>
                      <w:szCs w:val="21"/>
                      <w:lang w:val="en-US" w:eastAsia="zh-CN" w:bidi="ar-SA"/>
                    </w:rPr>
                    <w:t>，见附件</w:t>
                  </w:r>
                  <w:r>
                    <w:rPr>
                      <w:rFonts w:hint="eastAsia" w:cs="Times New Roman"/>
                      <w:color w:val="auto"/>
                      <w:kern w:val="2"/>
                      <w:sz w:val="21"/>
                      <w:szCs w:val="21"/>
                      <w:lang w:val="en-US" w:eastAsia="zh-CN" w:bidi="ar-SA"/>
                    </w:rPr>
                    <w:t>4</w:t>
                  </w:r>
                  <w:r>
                    <w:rPr>
                      <w:rFonts w:hint="default" w:ascii="Times New Roman" w:hAnsi="Times New Roman" w:eastAsia="宋体" w:cs="Times New Roman"/>
                      <w:color w:val="auto"/>
                      <w:kern w:val="2"/>
                      <w:sz w:val="21"/>
                      <w:szCs w:val="21"/>
                      <w:lang w:val="en-US" w:eastAsia="zh-CN" w:bidi="ar-SA"/>
                    </w:rPr>
                    <w:t>），符合区域产业政策</w:t>
                  </w:r>
                  <w:r>
                    <w:rPr>
                      <w:rFonts w:hint="default" w:ascii="Times New Roman" w:hAnsi="Times New Roman" w:eastAsia="宋体" w:cs="Times New Roman"/>
                      <w:color w:val="auto"/>
                      <w:kern w:val="2"/>
                      <w:sz w:val="21"/>
                      <w:szCs w:val="21"/>
                      <w:lang w:val="en-US" w:eastAsia="zh-CN" w:bidi="ar-SA"/>
                    </w:rPr>
                    <w:tab/>
                  </w:r>
                </w:p>
              </w:tc>
              <w:tc>
                <w:tcPr>
                  <w:tcW w:w="525" w:type="pct"/>
                  <w:tcBorders>
                    <w:tl2br w:val="nil"/>
                    <w:tr2bl w:val="nil"/>
                  </w:tcBorders>
                  <w:noWrap w:val="0"/>
                  <w:vAlign w:val="center"/>
                </w:tcPr>
                <w:p w14:paraId="769F60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是</w:t>
                  </w:r>
                </w:p>
              </w:tc>
            </w:tr>
          </w:tbl>
          <w:p w14:paraId="504B1861">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2、用地性质相符性分析</w:t>
            </w:r>
          </w:p>
          <w:p w14:paraId="4408973A">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（1）根据《省政府关于印发江苏省生态空间管控区域规划的通知》（苏政发〔2020〕1号），结合项目地理位置和金坛区生态红线区域保护规划图，</w:t>
            </w:r>
            <w:r>
              <w:rPr>
                <w:rFonts w:hint="eastAsia" w:cs="Times New Roman"/>
                <w:b w:val="0"/>
                <w:bCs/>
                <w:color w:val="auto"/>
                <w:sz w:val="24"/>
                <w:szCs w:val="24"/>
                <w:lang w:val="en-US" w:eastAsia="zh-CN"/>
              </w:rPr>
              <w:t>距离本项目最近的生态红线区域为东侧的</w:t>
            </w:r>
            <w:r>
              <w:rPr>
                <w:rFonts w:hint="eastAsia" w:ascii="Times New Roman" w:hAnsi="Times New Roman" w:eastAsia="宋体" w:cs="Times New Roman"/>
                <w:color w:val="auto"/>
                <w:kern w:val="0"/>
                <w:sz w:val="24"/>
                <w:szCs w:val="24"/>
                <w:highlight w:val="none"/>
                <w:lang w:val="en-US" w:eastAsia="zh-CN"/>
              </w:rPr>
              <w:t>新孟河（武进区）清水通道维护区</w:t>
            </w:r>
            <w:r>
              <w:rPr>
                <w:rFonts w:hint="eastAsia" w:cs="Times New Roman"/>
                <w:color w:val="auto"/>
                <w:kern w:val="0"/>
                <w:sz w:val="24"/>
                <w:szCs w:val="24"/>
                <w:highlight w:val="none"/>
                <w:lang w:val="en-US" w:eastAsia="zh-CN"/>
              </w:rPr>
              <w:t>，两者</w:t>
            </w:r>
            <w:r>
              <w:rPr>
                <w:rFonts w:hint="eastAsia" w:cs="Times New Roman"/>
                <w:b w:val="0"/>
                <w:bCs/>
                <w:color w:val="auto"/>
                <w:sz w:val="24"/>
                <w:szCs w:val="24"/>
                <w:lang w:val="en-US" w:eastAsia="zh-CN"/>
              </w:rPr>
              <w:t>相距约0.19km，本项目南侧0.15km处为北干河，西南侧0.43km处为儒林河。距离本项目最近的太湖主要入湖河道为东侧的</w:t>
            </w:r>
            <w:r>
              <w:rPr>
                <w:rFonts w:hint="eastAsia" w:cs="Times New Roman"/>
                <w:color w:val="auto"/>
                <w:kern w:val="0"/>
                <w:sz w:val="24"/>
                <w:szCs w:val="24"/>
                <w:highlight w:val="none"/>
                <w:lang w:val="en-US" w:eastAsia="zh-CN"/>
              </w:rPr>
              <w:t>太滆运河，两者</w:t>
            </w:r>
            <w:r>
              <w:rPr>
                <w:rFonts w:hint="eastAsia" w:cs="Times New Roman"/>
                <w:b w:val="0"/>
                <w:bCs/>
                <w:color w:val="auto"/>
                <w:sz w:val="24"/>
                <w:szCs w:val="24"/>
                <w:lang w:val="en-US" w:eastAsia="zh-CN"/>
              </w:rPr>
              <w:t>相距约21.1km，位置关系详见图1-1。本项目</w:t>
            </w:r>
            <w:r>
              <w:rPr>
                <w:rFonts w:hint="default" w:ascii="Times New Roman" w:hAnsi="Times New Roman" w:eastAsia="宋体" w:cs="Times New Roman"/>
                <w:b w:val="0"/>
                <w:bCs/>
                <w:color w:val="auto"/>
                <w:sz w:val="24"/>
                <w:szCs w:val="24"/>
                <w:lang w:eastAsia="zh-CN"/>
              </w:rPr>
              <w:t>不涉及生态红线一级、二级管控区，符合江苏省生态红线区域保护规划要求。</w:t>
            </w:r>
          </w:p>
          <w:p w14:paraId="04BFD9C0">
            <w:pPr>
              <w:keepNext w:val="0"/>
              <w:keepLines w:val="0"/>
              <w:pageBreakBefore w:val="0"/>
              <w:widowControl w:val="0"/>
              <w:kinsoku/>
              <w:wordWrap/>
              <w:overflowPunct/>
              <w:topLinePunct w:val="0"/>
              <w:bidi w:val="0"/>
              <w:snapToGrid w:val="0"/>
              <w:spacing w:line="480" w:lineRule="exact"/>
              <w:ind w:left="0" w:leftChars="0" w:firstLine="0" w:firstLineChars="0"/>
              <w:jc w:val="center"/>
              <w:textAlignment w:val="auto"/>
              <w:rPr>
                <w:rFonts w:hint="default" w:ascii="Times New Roman" w:hAnsi="Times New Roman" w:eastAsia="宋体" w:cs="Times New Roman"/>
                <w:b/>
                <w:bCs/>
                <w:color w:val="auto"/>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4154805</wp:posOffset>
                      </wp:positionH>
                      <wp:positionV relativeFrom="page">
                        <wp:posOffset>1273175</wp:posOffset>
                      </wp:positionV>
                      <wp:extent cx="795020" cy="285115"/>
                      <wp:effectExtent l="236855" t="12700" r="19685" b="342265"/>
                      <wp:wrapNone/>
                      <wp:docPr id="7" name="线形标注 1 7"/>
                      <wp:cNvGraphicFramePr/>
                      <a:graphic xmlns:a="http://schemas.openxmlformats.org/drawingml/2006/main">
                        <a:graphicData uri="http://schemas.microsoft.com/office/word/2010/wordprocessingShape">
                          <wps:wsp>
                            <wps:cNvSpPr/>
                            <wps:spPr>
                              <a:xfrm>
                                <a:off x="0" y="0"/>
                                <a:ext cx="795020" cy="285115"/>
                              </a:xfrm>
                              <a:prstGeom prst="borderCallout1">
                                <a:avLst>
                                  <a:gd name="adj1" fmla="val 52561"/>
                                  <a:gd name="adj2" fmla="val -239"/>
                                  <a:gd name="adj3" fmla="val 218040"/>
                                  <a:gd name="adj4" fmla="val -28354"/>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9C50567">
                                  <w:pPr>
                                    <w:spacing w:line="240" w:lineRule="auto"/>
                                    <w:ind w:left="0" w:leftChars="0" w:firstLine="0" w:firstLineChars="0"/>
                                    <w:rPr>
                                      <w:rFonts w:hint="default"/>
                                      <w:lang w:val="en-US" w:eastAsia="zh-CN"/>
                                    </w:rPr>
                                  </w:pPr>
                                  <w:r>
                                    <w:rPr>
                                      <w:rFonts w:hint="default" w:ascii="Times New Roman" w:hAnsi="Times New Roman" w:eastAsia="宋体" w:cs="Times New Roman"/>
                                      <w:b/>
                                      <w:bCs/>
                                      <w:color w:val="FF0000"/>
                                      <w:sz w:val="21"/>
                                      <w:szCs w:val="21"/>
                                    </w:rPr>
                                    <w:t>太滆运河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27.15pt;margin-top:100.25pt;height:22.45pt;width:62.6pt;mso-position-vertical-relative:page;z-index:251668480;v-text-anchor:middle;mso-width-relative:page;mso-height-relative:page;" fillcolor="#FFFFFF [3212]" filled="t" stroked="t" coordsize="21600,21600" o:gfxdata="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R44lW2wAAAAsBAAAPAAAAAAAAAAEA&#10;IAAAACIAAABkcnMvZG93bnJldi54bWxQSwECFAAUAAAACACHTuJA+6VCjrcCAACTBQAADgAAAAAA&#10;AAABACAAAAAqAQAAZHJzL2Uyb0RvYy54bWxQSwUGAAAAAAYABgBZAQAAUwYAAAAA&#10;" adj="-6124,47097,-52,11353">
                      <v:fill on="t" focussize="0,0"/>
                      <v:stroke weight="2pt" color="#FF0000 [2404]" joinstyle="round"/>
                      <v:imagedata o:title=""/>
                      <o:lock v:ext="edit" aspectratio="f"/>
                      <v:textbox>
                        <w:txbxContent>
                          <w:p w14:paraId="79C50567">
                            <w:pPr>
                              <w:spacing w:line="240" w:lineRule="auto"/>
                              <w:ind w:left="0" w:leftChars="0" w:firstLine="0" w:firstLineChars="0"/>
                              <w:rPr>
                                <w:rFonts w:hint="default"/>
                                <w:lang w:val="en-US" w:eastAsia="zh-CN"/>
                              </w:rPr>
                            </w:pPr>
                            <w:r>
                              <w:rPr>
                                <w:rFonts w:hint="default" w:ascii="Times New Roman" w:hAnsi="Times New Roman" w:eastAsia="宋体" w:cs="Times New Roman"/>
                                <w:b/>
                                <w:bCs/>
                                <w:color w:val="FF0000"/>
                                <w:sz w:val="21"/>
                                <w:szCs w:val="21"/>
                              </w:rPr>
                              <w:t>太滆运河</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736600</wp:posOffset>
                      </wp:positionH>
                      <wp:positionV relativeFrom="page">
                        <wp:posOffset>1231265</wp:posOffset>
                      </wp:positionV>
                      <wp:extent cx="795020" cy="285115"/>
                      <wp:effectExtent l="12700" t="12700" r="152400" b="174625"/>
                      <wp:wrapNone/>
                      <wp:docPr id="6" name="线形标注 1 6"/>
                      <wp:cNvGraphicFramePr/>
                      <a:graphic xmlns:a="http://schemas.openxmlformats.org/drawingml/2006/main">
                        <a:graphicData uri="http://schemas.microsoft.com/office/word/2010/wordprocessingShape">
                          <wps:wsp>
                            <wps:cNvSpPr/>
                            <wps:spPr>
                              <a:xfrm>
                                <a:off x="0" y="0"/>
                                <a:ext cx="795020" cy="285115"/>
                              </a:xfrm>
                              <a:prstGeom prst="borderCallout1">
                                <a:avLst>
                                  <a:gd name="adj1" fmla="val 54428"/>
                                  <a:gd name="adj2" fmla="val 100812"/>
                                  <a:gd name="adj3" fmla="val 158118"/>
                                  <a:gd name="adj4" fmla="val 11768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5849859">
                                  <w:pPr>
                                    <w:spacing w:line="240" w:lineRule="auto"/>
                                    <w:ind w:left="0" w:leftChars="0" w:firstLine="0" w:firstLineChars="0"/>
                                    <w:jc w:val="both"/>
                                    <w:rPr>
                                      <w:rFonts w:hint="default" w:eastAsia="宋体"/>
                                      <w:color w:val="FF0000"/>
                                      <w:sz w:val="18"/>
                                      <w:szCs w:val="18"/>
                                      <w:lang w:val="en-US" w:eastAsia="zh-CN"/>
                                    </w:rPr>
                                  </w:pPr>
                                  <w:r>
                                    <w:rPr>
                                      <w:rFonts w:hint="eastAsia"/>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58pt;margin-top:96.95pt;height:22.45pt;width:62.6pt;mso-position-vertical-relative:page;z-index:251667456;v-text-anchor:middle;mso-width-relative:page;mso-height-relative:page;" fillcolor="#FFFFFF [3212]" filled="t" stroked="t" coordsize="21600,21600" o:gfxdata="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Cc6dvdkAAAALAQAADwAAAAAAAAABACAAAAAi&#10;AAAAZHJzL2Rvd25yZXYueG1sUEsBAhQAFAAAAAgAh07iQJCmAJW0AgAAlQUAAA4AAAAAAAAAAQAg&#10;AAAAKAEAAGRycy9lMm9Eb2MueG1sUEsFBgAAAAAGAAYAWQEAAE4GAAAAAA==&#10;" adj="25420,34153,21775,11756">
                      <v:fill on="t" focussize="0,0"/>
                      <v:stroke weight="2pt" color="#FF0000 [2404]" joinstyle="round"/>
                      <v:imagedata o:title=""/>
                      <o:lock v:ext="edit" aspectratio="f"/>
                      <v:textbox>
                        <w:txbxContent>
                          <w:p w14:paraId="55849859">
                            <w:pPr>
                              <w:spacing w:line="240" w:lineRule="auto"/>
                              <w:ind w:left="0" w:leftChars="0" w:firstLine="0" w:firstLineChars="0"/>
                              <w:jc w:val="both"/>
                              <w:rPr>
                                <w:rFonts w:hint="default" w:eastAsia="宋体"/>
                                <w:color w:val="FF0000"/>
                                <w:sz w:val="18"/>
                                <w:szCs w:val="18"/>
                                <w:lang w:val="en-US" w:eastAsia="zh-CN"/>
                              </w:rPr>
                            </w:pPr>
                            <w:r>
                              <w:rPr>
                                <w:rFonts w:hint="eastAsia"/>
                                <w:color w:val="FF0000"/>
                                <w:sz w:val="18"/>
                                <w:szCs w:val="18"/>
                                <w:lang w:val="en-US" w:eastAsia="zh-CN"/>
                              </w:rPr>
                              <w:t>项目所在地</w:t>
                            </w:r>
                          </w:p>
                        </w:txbxContent>
                      </v:textbox>
                    </v:shape>
                  </w:pict>
                </mc:Fallback>
              </mc:AlternateContent>
            </w:r>
            <w:r>
              <w:rPr>
                <w:color w:val="auto"/>
              </w:rPr>
              <w:drawing>
                <wp:anchor distT="0" distB="0" distL="114300" distR="114300" simplePos="0" relativeHeight="251666432" behindDoc="0" locked="0" layoutInCell="1" allowOverlap="1">
                  <wp:simplePos x="0" y="0"/>
                  <wp:positionH relativeFrom="column">
                    <wp:posOffset>291465</wp:posOffset>
                  </wp:positionH>
                  <wp:positionV relativeFrom="paragraph">
                    <wp:posOffset>88900</wp:posOffset>
                  </wp:positionV>
                  <wp:extent cx="5434965" cy="3329940"/>
                  <wp:effectExtent l="0" t="0" r="5715" b="7620"/>
                  <wp:wrapTopAndBottom/>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4"/>
                          <a:stretch>
                            <a:fillRect/>
                          </a:stretch>
                        </pic:blipFill>
                        <pic:spPr>
                          <a:xfrm>
                            <a:off x="0" y="0"/>
                            <a:ext cx="5434965" cy="3329940"/>
                          </a:xfrm>
                          <a:prstGeom prst="rect">
                            <a:avLst/>
                          </a:prstGeom>
                          <a:noFill/>
                          <a:ln>
                            <a:noFill/>
                          </a:ln>
                        </pic:spPr>
                      </pic:pic>
                    </a:graphicData>
                  </a:graphic>
                </wp:anchor>
              </w:drawing>
            </w:r>
            <w:r>
              <w:rPr>
                <w:rFonts w:hint="default" w:ascii="Times New Roman" w:hAnsi="Times New Roman" w:eastAsia="宋体" w:cs="Times New Roman"/>
                <w:b/>
                <w:bCs/>
                <w:color w:val="auto"/>
              </w:rPr>
              <w:t>图</w:t>
            </w:r>
            <w:r>
              <w:rPr>
                <w:rFonts w:hint="eastAsia" w:cs="Times New Roman"/>
                <w:b/>
                <w:bCs/>
                <w:color w:val="auto"/>
                <w:lang w:val="en-US" w:eastAsia="zh-CN"/>
              </w:rPr>
              <w:t>1</w:t>
            </w:r>
            <w:r>
              <w:rPr>
                <w:rFonts w:hint="default" w:ascii="Times New Roman" w:hAnsi="Times New Roman" w:eastAsia="宋体" w:cs="Times New Roman"/>
                <w:b/>
                <w:bCs/>
                <w:color w:val="auto"/>
              </w:rPr>
              <w:t>-</w:t>
            </w:r>
            <w:r>
              <w:rPr>
                <w:rFonts w:hint="eastAsia" w:cs="Times New Roman"/>
                <w:b/>
                <w:bCs/>
                <w:color w:val="auto"/>
                <w:lang w:val="en-US" w:eastAsia="zh-CN"/>
              </w:rPr>
              <w:t>1</w:t>
            </w:r>
            <w:r>
              <w:rPr>
                <w:rFonts w:hint="default" w:ascii="Times New Roman" w:hAnsi="Times New Roman" w:eastAsia="宋体" w:cs="Times New Roman"/>
                <w:b/>
                <w:bCs/>
                <w:color w:val="auto"/>
              </w:rPr>
              <w:t xml:space="preserve">  本项目</w:t>
            </w:r>
            <w:r>
              <w:rPr>
                <w:rFonts w:hint="eastAsia" w:cs="Times New Roman"/>
                <w:b/>
                <w:bCs/>
                <w:color w:val="auto"/>
                <w:lang w:val="en-US" w:eastAsia="zh-CN"/>
              </w:rPr>
              <w:t>与</w:t>
            </w:r>
            <w:r>
              <w:rPr>
                <w:rFonts w:hint="default" w:ascii="Times New Roman" w:hAnsi="Times New Roman" w:eastAsia="宋体" w:cs="Times New Roman"/>
                <w:b/>
                <w:bCs/>
                <w:color w:val="auto"/>
              </w:rPr>
              <w:t>太滆运河</w:t>
            </w:r>
            <w:r>
              <w:rPr>
                <w:rFonts w:hint="eastAsia" w:cs="Times New Roman"/>
                <w:b/>
                <w:bCs/>
                <w:color w:val="auto"/>
                <w:lang w:val="en-US" w:eastAsia="zh-CN"/>
              </w:rPr>
              <w:t>位置关系</w:t>
            </w:r>
            <w:r>
              <w:rPr>
                <w:rFonts w:hint="default" w:ascii="Times New Roman" w:hAnsi="Times New Roman" w:eastAsia="宋体" w:cs="Times New Roman"/>
                <w:b/>
                <w:bCs/>
                <w:color w:val="auto"/>
              </w:rPr>
              <w:t>图</w:t>
            </w:r>
          </w:p>
          <w:p w14:paraId="30DB87F7">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（2）本项目</w:t>
            </w:r>
            <w:r>
              <w:rPr>
                <w:rFonts w:hint="default" w:ascii="Times New Roman" w:hAnsi="Times New Roman" w:eastAsia="宋体" w:cs="Times New Roman"/>
                <w:b w:val="0"/>
                <w:bCs/>
                <w:color w:val="auto"/>
                <w:sz w:val="24"/>
                <w:szCs w:val="24"/>
                <w:lang w:val="en-US" w:eastAsia="zh-CN"/>
              </w:rPr>
              <w:t>所在地</w:t>
            </w:r>
            <w:r>
              <w:rPr>
                <w:rFonts w:hint="default" w:ascii="Times New Roman" w:hAnsi="Times New Roman" w:eastAsia="宋体" w:cs="Times New Roman"/>
                <w:b w:val="0"/>
                <w:bCs/>
                <w:color w:val="auto"/>
                <w:sz w:val="24"/>
                <w:szCs w:val="24"/>
                <w:lang w:eastAsia="zh-CN"/>
              </w:rPr>
              <w:t>已取得</w:t>
            </w:r>
            <w:r>
              <w:rPr>
                <w:rFonts w:hint="default" w:ascii="Times New Roman" w:hAnsi="Times New Roman" w:eastAsia="宋体" w:cs="Times New Roman"/>
                <w:b w:val="0"/>
                <w:bCs/>
                <w:color w:val="auto"/>
                <w:sz w:val="24"/>
                <w:szCs w:val="24"/>
                <w:lang w:val="en-US" w:eastAsia="zh-CN"/>
              </w:rPr>
              <w:t>土地证</w:t>
            </w:r>
            <w:r>
              <w:rPr>
                <w:rFonts w:hint="default"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val="en-US" w:eastAsia="zh-CN"/>
              </w:rPr>
              <w:t>详见附件</w:t>
            </w:r>
            <w:r>
              <w:rPr>
                <w:rFonts w:hint="eastAsia" w:cs="Times New Roman"/>
                <w:b w:val="0"/>
                <w:bCs/>
                <w:color w:val="auto"/>
                <w:sz w:val="24"/>
                <w:szCs w:val="24"/>
                <w:lang w:val="en-US" w:eastAsia="zh-CN"/>
              </w:rPr>
              <w:t>5</w:t>
            </w:r>
            <w:r>
              <w:rPr>
                <w:rFonts w:hint="default" w:ascii="Times New Roman" w:hAnsi="Times New Roman" w:eastAsia="宋体" w:cs="Times New Roman"/>
                <w:b w:val="0"/>
                <w:bCs/>
                <w:color w:val="auto"/>
                <w:sz w:val="24"/>
                <w:szCs w:val="24"/>
                <w:lang w:eastAsia="zh-CN"/>
              </w:rPr>
              <w:t>），项目所在地为“工业用地”，本项目从事工业生产，用地性质符合要求。</w:t>
            </w:r>
          </w:p>
          <w:p w14:paraId="164A5AC1">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（3）本项目位于江苏省常州市金坛区儒园路1号。根据《金坛区儒林现代产业园发展规划环境影响报告书</w:t>
            </w:r>
            <w:r>
              <w:rPr>
                <w:rFonts w:hint="default" w:ascii="Times New Roman" w:hAnsi="Times New Roman" w:eastAsia="宋体" w:cs="Times New Roman"/>
                <w:b w:val="0"/>
                <w:bCs/>
                <w:color w:val="auto"/>
                <w:sz w:val="24"/>
                <w:szCs w:val="24"/>
                <w:lang w:val="en-US" w:eastAsia="zh-CN"/>
              </w:rPr>
              <w:t>-土地利用规划图</w:t>
            </w:r>
            <w:r>
              <w:rPr>
                <w:rFonts w:hint="default"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val="en-US" w:eastAsia="zh-CN"/>
              </w:rPr>
              <w:t>详见附图4</w:t>
            </w:r>
            <w:r>
              <w:rPr>
                <w:rFonts w:hint="default" w:ascii="Times New Roman" w:hAnsi="Times New Roman" w:eastAsia="宋体" w:cs="Times New Roman"/>
                <w:b w:val="0"/>
                <w:bCs/>
                <w:color w:val="auto"/>
                <w:sz w:val="24"/>
                <w:szCs w:val="24"/>
                <w:lang w:eastAsia="zh-CN"/>
              </w:rPr>
              <w:t>），项目所在地规划为工业用地，其用地功能与规划用地性质相符。</w:t>
            </w:r>
          </w:p>
          <w:p w14:paraId="0322E748">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4）本项目不在《江苏省国家级生态保护红线规划》（苏政发〔2018〕74号）规定的生态保护红线范围内；不在《省政府关于印发江苏省生态空间管控区域规划的通知》（苏政发〔2020〕1号）规定的常州市生态红线管控区范围内。</w:t>
            </w:r>
          </w:p>
          <w:p w14:paraId="0B6B732B">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（5）</w:t>
            </w:r>
            <w:r>
              <w:rPr>
                <w:rFonts w:hint="eastAsia" w:cs="Times New Roman"/>
                <w:b w:val="0"/>
                <w:bCs/>
                <w:color w:val="auto"/>
                <w:sz w:val="24"/>
                <w:szCs w:val="24"/>
                <w:lang w:val="en-US" w:eastAsia="zh-CN"/>
              </w:rPr>
              <w:t>本项目卫生防护距离是以生产车间为边界外扩100米范围，项目卫生防护距离内无环境保护目标。</w:t>
            </w:r>
          </w:p>
          <w:p w14:paraId="62F175D3">
            <w:pPr>
              <w:keepNext w:val="0"/>
              <w:keepLines w:val="0"/>
              <w:pageBreakBefore w:val="0"/>
              <w:widowControl w:val="0"/>
              <w:kinsoku/>
              <w:wordWrap/>
              <w:overflowPunct/>
              <w:topLinePunct w:val="0"/>
              <w:bidi w:val="0"/>
              <w:snapToGrid w:val="0"/>
              <w:spacing w:line="480" w:lineRule="exact"/>
              <w:ind w:left="0" w:leftChars="0" w:firstLine="480" w:firstLineChars="200"/>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val="en-US" w:eastAsia="zh-CN"/>
              </w:rPr>
              <w:t>3、</w:t>
            </w:r>
            <w:r>
              <w:rPr>
                <w:rFonts w:hint="default" w:ascii="Times New Roman" w:hAnsi="Times New Roman" w:eastAsia="宋体" w:cs="Times New Roman"/>
                <w:b/>
                <w:bCs w:val="0"/>
                <w:color w:val="auto"/>
                <w:sz w:val="24"/>
                <w:szCs w:val="24"/>
                <w:lang w:eastAsia="zh-CN"/>
              </w:rPr>
              <w:t>国土空间规划及“三区三线”相符性分析</w:t>
            </w:r>
          </w:p>
          <w:p w14:paraId="73F3249E">
            <w:pPr>
              <w:keepNext w:val="0"/>
              <w:keepLines w:val="0"/>
              <w:pageBreakBefore w:val="0"/>
              <w:widowControl w:val="0"/>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根据国务院关于《江苏省国土空间规划（2021 —2035年）》的批复（国函〔2023〕69号）、国务院关于《常州市国土空间总体规划（2021—2035年）》的批复（国函〔2025〕9号）、省政府关于溧阳市、金坛区、武进区、新北区、天宁区、钟楼区国土空间总体规划（2021－2035年）的批复（苏政复〔2025〕6号）。金坛区“三区三线”划定成果已正式启用，共划定耕地保护目标</w:t>
            </w:r>
            <w:r>
              <w:rPr>
                <w:rFonts w:hint="eastAsia" w:cs="Times New Roman"/>
                <w:color w:val="auto"/>
                <w:sz w:val="24"/>
                <w:szCs w:val="24"/>
                <w:lang w:val="en-US" w:eastAsia="zh-CN"/>
              </w:rPr>
              <w:t>耕地</w:t>
            </w:r>
            <w:r>
              <w:rPr>
                <w:rFonts w:hint="default" w:ascii="Times New Roman" w:hAnsi="Times New Roman" w:eastAsia="宋体" w:cs="Times New Roman"/>
                <w:color w:val="auto"/>
                <w:sz w:val="24"/>
                <w:szCs w:val="24"/>
                <w:lang w:val="en-US" w:eastAsia="zh-CN"/>
              </w:rPr>
              <w:t>31.3788万亩，永久基本农田28.264万亩，生态保护红线98.67平方公里，城镇开发边界115.67平方公里。</w:t>
            </w:r>
          </w:p>
          <w:p w14:paraId="50A8BF32">
            <w:pPr>
              <w:keepNext w:val="0"/>
              <w:keepLines w:val="0"/>
              <w:pageBreakBefore w:val="0"/>
              <w:widowControl w:val="0"/>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color w:val="auto"/>
                <w:sz w:val="24"/>
                <w:szCs w:val="24"/>
                <w:lang w:val="en-US"/>
              </w:rPr>
            </w:pPr>
            <w:r>
              <w:rPr>
                <w:rFonts w:hint="default" w:ascii="Times New Roman" w:hAnsi="Times New Roman" w:eastAsia="宋体" w:cs="Times New Roman"/>
                <w:color w:val="auto"/>
                <w:sz w:val="24"/>
                <w:szCs w:val="24"/>
                <w:lang w:val="en-US" w:eastAsia="zh-CN"/>
              </w:rPr>
              <w:t>根据《常州市国土空间总体规划》（2021-2035年）</w:t>
            </w:r>
            <w:r>
              <w:rPr>
                <w:rFonts w:hint="eastAsia" w:cs="Times New Roman"/>
                <w:color w:val="auto"/>
                <w:sz w:val="24"/>
                <w:szCs w:val="24"/>
                <w:lang w:val="en-US" w:eastAsia="zh-CN"/>
              </w:rPr>
              <w:t>、</w:t>
            </w:r>
            <w:r>
              <w:rPr>
                <w:rFonts w:hint="default" w:ascii="Times New Roman" w:hAnsi="Times New Roman" w:eastAsia="宋体" w:cs="Times New Roman"/>
                <w:color w:val="auto"/>
                <w:kern w:val="0"/>
                <w:sz w:val="24"/>
                <w:szCs w:val="24"/>
                <w:highlight w:val="none"/>
                <w:shd w:val="clear" w:color="auto" w:fill="auto"/>
                <w:lang w:val="en-US" w:eastAsia="zh-CN"/>
              </w:rPr>
              <w:t>《常州市</w:t>
            </w:r>
            <w:r>
              <w:rPr>
                <w:rFonts w:hint="eastAsia" w:ascii="Times New Roman" w:hAnsi="Times New Roman" w:eastAsia="宋体" w:cs="Times New Roman"/>
                <w:color w:val="auto"/>
                <w:kern w:val="0"/>
                <w:sz w:val="24"/>
                <w:szCs w:val="24"/>
                <w:highlight w:val="none"/>
                <w:shd w:val="clear" w:color="auto" w:fill="auto"/>
                <w:lang w:val="en-US" w:eastAsia="zh-CN"/>
              </w:rPr>
              <w:t>金坛区</w:t>
            </w:r>
            <w:r>
              <w:rPr>
                <w:rFonts w:hint="default" w:ascii="Times New Roman" w:hAnsi="Times New Roman" w:eastAsia="宋体" w:cs="Times New Roman"/>
                <w:color w:val="auto"/>
                <w:kern w:val="0"/>
                <w:sz w:val="24"/>
                <w:szCs w:val="24"/>
                <w:highlight w:val="none"/>
                <w:shd w:val="clear" w:color="auto" w:fill="auto"/>
                <w:lang w:val="en-US" w:eastAsia="zh-CN"/>
              </w:rPr>
              <w:t>国土空间总体规划（2021—2035年）》</w:t>
            </w:r>
            <w:r>
              <w:rPr>
                <w:rFonts w:hint="default" w:ascii="Times New Roman" w:hAnsi="Times New Roman" w:eastAsia="宋体" w:cs="Times New Roman"/>
                <w:color w:val="auto"/>
                <w:sz w:val="24"/>
                <w:szCs w:val="24"/>
                <w:lang w:val="en-US" w:eastAsia="zh-CN"/>
              </w:rPr>
              <w:t>，本项目位于城镇开发边界内，不占用耕地和永久基本农田，不涉及生态保护红线，因此本项目满足国土空间规划及“三区三线”要求。</w:t>
            </w:r>
          </w:p>
          <w:p w14:paraId="4E9C2D8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4、“三线一单”相符性分析</w:t>
            </w:r>
          </w:p>
          <w:p w14:paraId="660C322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val="en-US" w:eastAsia="zh-CN"/>
              </w:rPr>
              <w:t>（1）生态红线相符性分析</w:t>
            </w:r>
          </w:p>
          <w:p w14:paraId="26BF9D7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根据《省政府关于印发江苏省生态空间管控区域规划的通知》（苏政发〔2020〕1号），结合项目地理位置和金坛区生态红线区域保护规划图，本项目与最近的生态红线区域</w:t>
            </w:r>
            <w:r>
              <w:rPr>
                <w:rFonts w:hint="eastAsia" w:ascii="Times New Roman" w:hAnsi="Times New Roman" w:eastAsia="宋体" w:cs="Times New Roman"/>
                <w:color w:val="auto"/>
                <w:kern w:val="0"/>
                <w:sz w:val="24"/>
                <w:szCs w:val="24"/>
                <w:highlight w:val="none"/>
                <w:lang w:val="en-US" w:eastAsia="zh-CN"/>
              </w:rPr>
              <w:t>新孟河（武进区）清水通道维护区</w:t>
            </w:r>
            <w:r>
              <w:rPr>
                <w:rFonts w:hint="eastAsia" w:cs="Times New Roman"/>
                <w:b w:val="0"/>
                <w:bCs/>
                <w:color w:val="auto"/>
                <w:sz w:val="24"/>
                <w:szCs w:val="24"/>
                <w:lang w:eastAsia="zh-CN"/>
              </w:rPr>
              <w:t>相距</w:t>
            </w:r>
            <w:r>
              <w:rPr>
                <w:rFonts w:hint="eastAsia" w:cs="Times New Roman"/>
                <w:b w:val="0"/>
                <w:bCs/>
                <w:color w:val="auto"/>
                <w:sz w:val="24"/>
                <w:szCs w:val="24"/>
                <w:lang w:val="en-US" w:eastAsia="zh-CN"/>
              </w:rPr>
              <w:t>约0.19k</w:t>
            </w:r>
            <w:r>
              <w:rPr>
                <w:rFonts w:hint="eastAsia" w:cs="Times New Roman"/>
                <w:b w:val="0"/>
                <w:bCs/>
                <w:color w:val="auto"/>
                <w:sz w:val="24"/>
                <w:szCs w:val="24"/>
                <w:lang w:eastAsia="zh-CN"/>
              </w:rPr>
              <w:t>m</w:t>
            </w:r>
            <w:r>
              <w:rPr>
                <w:rFonts w:hint="default" w:ascii="Times New Roman" w:hAnsi="Times New Roman" w:eastAsia="宋体" w:cs="Times New Roman"/>
                <w:b w:val="0"/>
                <w:bCs/>
                <w:color w:val="auto"/>
                <w:sz w:val="24"/>
                <w:szCs w:val="24"/>
                <w:lang w:eastAsia="zh-CN"/>
              </w:rPr>
              <w:t>，不涉及生态红线一级、二级管控区，符合江苏省生态红线区域保护规划要求。</w:t>
            </w:r>
          </w:p>
          <w:p w14:paraId="0765948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bCs w:val="0"/>
                <w:color w:val="auto"/>
                <w:sz w:val="24"/>
                <w:szCs w:val="24"/>
                <w:lang w:eastAsia="zh-CN"/>
              </w:rPr>
            </w:pPr>
            <w:r>
              <w:rPr>
                <w:rFonts w:hint="default" w:ascii="Times New Roman" w:hAnsi="Times New Roman" w:eastAsia="宋体" w:cs="Times New Roman"/>
                <w:b/>
                <w:bCs w:val="0"/>
                <w:color w:val="auto"/>
                <w:sz w:val="24"/>
                <w:szCs w:val="24"/>
                <w:lang w:eastAsia="zh-CN"/>
              </w:rPr>
              <w:t>（</w:t>
            </w:r>
            <w:r>
              <w:rPr>
                <w:rFonts w:hint="default" w:ascii="Times New Roman" w:hAnsi="Times New Roman" w:eastAsia="宋体" w:cs="Times New Roman"/>
                <w:b/>
                <w:bCs w:val="0"/>
                <w:color w:val="auto"/>
                <w:sz w:val="24"/>
                <w:szCs w:val="24"/>
                <w:lang w:val="en-US" w:eastAsia="zh-CN"/>
              </w:rPr>
              <w:t>2</w:t>
            </w:r>
            <w:r>
              <w:rPr>
                <w:rFonts w:hint="default" w:ascii="Times New Roman" w:hAnsi="Times New Roman" w:eastAsia="宋体" w:cs="Times New Roman"/>
                <w:b/>
                <w:bCs w:val="0"/>
                <w:color w:val="auto"/>
                <w:sz w:val="24"/>
                <w:szCs w:val="24"/>
                <w:lang w:eastAsia="zh-CN"/>
              </w:rPr>
              <w:t>）与环境质量底线相符性分析</w:t>
            </w:r>
          </w:p>
          <w:p w14:paraId="6FD79E2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根据《2024年常州市生态环境质量状况公报》，大气污染防治取得历史性成效。全年环境空气质量综合指数为3.82，同比下降6.8%。全年PM2.5浓度32.6微克/立方米，PM2.5浓度同比改善5.0%，连续三年达到国家二级标准，绝对值历史最低；优良天数比率79.8%，同比改善2.3个百分点，达到近三年最优水平，也是全省唯一一个连续三年持续提升的城市；PM10浓度53微克/立方米，同比下降10.2%；二氧化氮浓度27微克/立方米，同比下降12.9%；臭氧浓度168微克/立方米，同比下降4.5%；5项环境空气质量主要指标全部取得改善。</w:t>
            </w:r>
          </w:p>
          <w:p w14:paraId="269A45C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水环境质量持续改善。20个国考断面中，17个水质达到Ⅲ类及以上，占比85%，51个省考断面中，48个水质达到Ⅲ类及以上，占比94.1%，均完成省定年度目标。全市河流断面水质持续全面达到Ⅲ类；太湖入湖河道通量最大的百渎港总磷同比下降17.6%。太湖水质自2007年蓝藻事件以来首次达Ⅲ、重回“良好”湖泊，其中太湖常州水域总磷同比改善24%，对全湖总磷改善幅度贡献率达182%，位列环湖城市第一；长荡湖水质稳定达到Ⅳ类，水生植物覆盖度达38.4%，由“藻型湖”逐步向“草型湖”转变；滆湖常州水域水质首次达到Ⅳ类，总磷同比改善27.9%，营养状态从“中度”改善至“轻度”。全市集中式饮用水源地水质总体状况良好，魏村、沙河水库、大溪水库等5个集中式饮用水源地水质均达到或优于Ⅲ类水标准。</w:t>
            </w:r>
          </w:p>
          <w:p w14:paraId="4C270B5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土壤环境质量总体状况较稳定。2024年常州市对7个国家网土壤环境一般风险点位开展监测，总达标率为85.7%。</w:t>
            </w:r>
          </w:p>
          <w:p w14:paraId="620A16C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2024年，常州市声环境质量总体处于较好水平；电离辐射水平未有异常变化，空气及土壤中的放射性水平保持在天然本底范围内；全市农村环境空气质量日均值达标率80.3%，64条农村黑臭水体完成整治，基本消除农村较大面积黑臭水体。全市的生态环境状况指数为55.98，属于“二类”生态质量地区。</w:t>
            </w:r>
          </w:p>
          <w:p w14:paraId="503D67F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经多年引导培育，全市已经形成资源化利用优先、无害化处置托底的危险废物处置体系。截至2024年底，全市危险废物经营许可单位75家，经营范围涉及《国家危险废物名录》46大类中的39种，利用处置能力超250万吨/年，满足处置需求。</w:t>
            </w:r>
          </w:p>
          <w:p w14:paraId="0CE3055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本项目建成后采取严格的污染防治措施，</w:t>
            </w:r>
            <w:r>
              <w:rPr>
                <w:rFonts w:hint="eastAsia" w:cs="Times New Roman"/>
                <w:b w:val="0"/>
                <w:bCs/>
                <w:color w:val="auto"/>
                <w:sz w:val="24"/>
                <w:szCs w:val="24"/>
                <w:lang w:val="en-US" w:eastAsia="zh-CN"/>
              </w:rPr>
              <w:t>废气、</w:t>
            </w:r>
            <w:r>
              <w:rPr>
                <w:rFonts w:hint="default" w:ascii="Times New Roman" w:hAnsi="Times New Roman" w:eastAsia="宋体" w:cs="Times New Roman"/>
                <w:b w:val="0"/>
                <w:bCs/>
                <w:color w:val="auto"/>
                <w:sz w:val="24"/>
                <w:szCs w:val="24"/>
                <w:lang w:eastAsia="zh-CN"/>
              </w:rPr>
              <w:t>废水、厂界噪声均可达标排放，固废合理处置，不会使区域环境质量恶化。因此，本项目的建设符合环境质量底线要求。</w:t>
            </w:r>
          </w:p>
          <w:p w14:paraId="67EADD6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color w:val="auto"/>
                <w:sz w:val="24"/>
                <w:szCs w:val="24"/>
                <w:lang w:val="en-US" w:eastAsia="zh-CN"/>
              </w:rPr>
              <w:t>3</w:t>
            </w:r>
            <w:r>
              <w:rPr>
                <w:rFonts w:hint="default" w:ascii="Times New Roman" w:hAnsi="Times New Roman" w:eastAsia="宋体" w:cs="Times New Roman"/>
                <w:b/>
                <w:color w:val="auto"/>
                <w:sz w:val="24"/>
                <w:szCs w:val="24"/>
                <w:lang w:eastAsia="zh-CN"/>
              </w:rPr>
              <w:t>）资源利用上线相符性</w:t>
            </w:r>
          </w:p>
          <w:p w14:paraId="62D497B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本项目用水来自市政供水管网，用电由市政供电管网提供，项目用地为工业用地，符合当地土地规划要求，项目资源消耗量相对区域资源利用总量较少，符合资源利用上线要求。</w:t>
            </w:r>
          </w:p>
          <w:p w14:paraId="4285F927">
            <w:pPr>
              <w:adjustRightInd w:val="0"/>
              <w:snapToGrid w:val="0"/>
              <w:spacing w:line="500" w:lineRule="exact"/>
              <w:ind w:firstLine="48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bCs w:val="0"/>
                <w:color w:val="auto"/>
                <w:sz w:val="24"/>
                <w:szCs w:val="24"/>
                <w:lang w:val="en-US" w:eastAsia="zh-CN"/>
              </w:rPr>
              <w:t>4</w:t>
            </w:r>
            <w:r>
              <w:rPr>
                <w:rFonts w:hint="default" w:ascii="Times New Roman" w:hAnsi="Times New Roman" w:eastAsia="宋体" w:cs="Times New Roman"/>
                <w:b/>
                <w:bCs w:val="0"/>
                <w:color w:val="auto"/>
                <w:sz w:val="24"/>
                <w:szCs w:val="24"/>
                <w:lang w:eastAsia="zh-CN"/>
              </w:rPr>
              <w:t>）</w:t>
            </w:r>
            <w:r>
              <w:rPr>
                <w:rFonts w:hint="default" w:ascii="Times New Roman" w:hAnsi="Times New Roman" w:eastAsia="宋体" w:cs="Times New Roman"/>
                <w:b/>
                <w:bCs w:val="0"/>
                <w:color w:val="auto"/>
                <w:kern w:val="0"/>
                <w:sz w:val="24"/>
                <w:szCs w:val="24"/>
                <w:highlight w:val="none"/>
              </w:rPr>
              <w:t>生态环境准入清单</w:t>
            </w:r>
          </w:p>
          <w:p w14:paraId="032B3F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表1-</w:t>
            </w:r>
            <w:r>
              <w:rPr>
                <w:rFonts w:hint="eastAsia" w:cs="Times New Roman"/>
                <w:b/>
                <w:bCs/>
                <w:color w:val="auto"/>
                <w:kern w:val="0"/>
                <w:sz w:val="21"/>
                <w:szCs w:val="21"/>
                <w:highlight w:val="none"/>
                <w:lang w:val="en-US" w:eastAsia="zh-CN"/>
              </w:rPr>
              <w:t>4</w:t>
            </w:r>
            <w:r>
              <w:rPr>
                <w:rFonts w:hint="default" w:ascii="Times New Roman" w:hAnsi="Times New Roman" w:eastAsia="宋体" w:cs="Times New Roman"/>
                <w:b/>
                <w:bCs/>
                <w:color w:val="auto"/>
                <w:kern w:val="0"/>
                <w:sz w:val="21"/>
                <w:szCs w:val="21"/>
                <w:highlight w:val="none"/>
              </w:rPr>
              <w:t xml:space="preserve"> 项目与国家及地方产业政策相符性分析</w:t>
            </w:r>
          </w:p>
          <w:tbl>
            <w:tblPr>
              <w:tblStyle w:val="44"/>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28"/>
              <w:gridCol w:w="2454"/>
              <w:gridCol w:w="4901"/>
              <w:gridCol w:w="1275"/>
            </w:tblGrid>
            <w:tr w14:paraId="0C1238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536C8736">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序号</w:t>
                  </w:r>
                </w:p>
              </w:tc>
              <w:tc>
                <w:tcPr>
                  <w:tcW w:w="1325" w:type="pct"/>
                  <w:noWrap w:val="0"/>
                  <w:vAlign w:val="center"/>
                </w:tcPr>
                <w:p w14:paraId="4D6F6F3E">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内容</w:t>
                  </w:r>
                </w:p>
              </w:tc>
              <w:tc>
                <w:tcPr>
                  <w:tcW w:w="2646" w:type="pct"/>
                  <w:noWrap w:val="0"/>
                  <w:vAlign w:val="center"/>
                </w:tcPr>
                <w:p w14:paraId="340EB28D">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相关性分析</w:t>
                  </w:r>
                </w:p>
              </w:tc>
              <w:tc>
                <w:tcPr>
                  <w:tcW w:w="688" w:type="pct"/>
                  <w:noWrap w:val="0"/>
                  <w:vAlign w:val="center"/>
                </w:tcPr>
                <w:p w14:paraId="6AAE7675">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相符性</w:t>
                  </w:r>
                </w:p>
              </w:tc>
            </w:tr>
            <w:tr w14:paraId="12B079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152DAC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25" w:type="pct"/>
                  <w:noWrap w:val="0"/>
                  <w:vAlign w:val="center"/>
                </w:tcPr>
                <w:p w14:paraId="28E3E8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《产业结构调整指导目录》（2024年本）</w:t>
                  </w:r>
                </w:p>
              </w:tc>
              <w:tc>
                <w:tcPr>
                  <w:tcW w:w="2646" w:type="pct"/>
                  <w:noWrap w:val="0"/>
                  <w:vAlign w:val="center"/>
                </w:tcPr>
                <w:p w14:paraId="0B4B9C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本项目属于C2929塑料零件及其他塑料制品制造，生产船舶配件，采用的生产工艺、设备等均不属于《产业结构调整指导目录（2024年本）》中限制类和淘汰类项目</w:t>
                  </w:r>
                </w:p>
              </w:tc>
              <w:tc>
                <w:tcPr>
                  <w:tcW w:w="688" w:type="pct"/>
                  <w:noWrap w:val="0"/>
                  <w:vAlign w:val="center"/>
                </w:tcPr>
                <w:p w14:paraId="2928CE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7EF425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3E92C9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325" w:type="pct"/>
                  <w:noWrap w:val="0"/>
                  <w:vAlign w:val="center"/>
                </w:tcPr>
                <w:p w14:paraId="4EBF27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《自然资源要素支撑产业高质量发展指导目录（2024年本）》</w:t>
                  </w:r>
                </w:p>
              </w:tc>
              <w:tc>
                <w:tcPr>
                  <w:tcW w:w="2646" w:type="pct"/>
                  <w:noWrap w:val="0"/>
                  <w:vAlign w:val="center"/>
                </w:tcPr>
                <w:p w14:paraId="46C740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本项目不属于其中限制类和禁止类项目</w:t>
                  </w:r>
                </w:p>
              </w:tc>
              <w:tc>
                <w:tcPr>
                  <w:tcW w:w="688" w:type="pct"/>
                  <w:noWrap w:val="0"/>
                  <w:vAlign w:val="center"/>
                </w:tcPr>
                <w:p w14:paraId="5EB7A1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3DCA8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060140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325" w:type="pct"/>
                  <w:noWrap w:val="0"/>
                  <w:vAlign w:val="center"/>
                </w:tcPr>
                <w:p w14:paraId="00DBE3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《江苏省限制用地项目目录（2013年本）》、《江苏省禁止用地项目目录（2013年本）》</w:t>
                  </w:r>
                </w:p>
              </w:tc>
              <w:tc>
                <w:tcPr>
                  <w:tcW w:w="2646" w:type="pct"/>
                  <w:noWrap w:val="0"/>
                  <w:vAlign w:val="center"/>
                </w:tcPr>
                <w:p w14:paraId="3AD85A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本项目不在《江苏省限制用地项目目录（2013年本）》、《江苏省禁止用地项目目录（2013年）》中</w:t>
                  </w:r>
                </w:p>
              </w:tc>
              <w:tc>
                <w:tcPr>
                  <w:tcW w:w="688" w:type="pct"/>
                  <w:noWrap w:val="0"/>
                  <w:vAlign w:val="center"/>
                </w:tcPr>
                <w:p w14:paraId="59BCB8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32BBD4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6B5BFD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325" w:type="pct"/>
                  <w:noWrap w:val="0"/>
                  <w:vAlign w:val="center"/>
                </w:tcPr>
                <w:p w14:paraId="24B379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《长江经济带发展负面清单指南》（试行，2022年版）及《关于印发〈长江经济带发展负面清单指南（试行，2022年版）〉江苏省实施细则的通知》（苏长江办发〔2022〕55号）</w:t>
                  </w:r>
                </w:p>
              </w:tc>
              <w:tc>
                <w:tcPr>
                  <w:tcW w:w="2646" w:type="pct"/>
                  <w:noWrap w:val="0"/>
                  <w:vAlign w:val="center"/>
                </w:tcPr>
                <w:p w14:paraId="0D4869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本项目不属于《长江经济带发展负面清单指南》（试行，2022年版）及《关于印发〈长江经济带发展负面清单指南（试行，2022年版）〉江苏省实施细则的通知》（苏长江办发〔2022〕55号）中的禁止入驻类项目。</w:t>
                  </w:r>
                </w:p>
              </w:tc>
              <w:tc>
                <w:tcPr>
                  <w:tcW w:w="688" w:type="pct"/>
                  <w:noWrap w:val="0"/>
                  <w:vAlign w:val="center"/>
                </w:tcPr>
                <w:p w14:paraId="19A943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4311B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345AF6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325" w:type="pct"/>
                  <w:noWrap w:val="0"/>
                  <w:vAlign w:val="center"/>
                </w:tcPr>
                <w:p w14:paraId="494FB1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《市场准入负面清单（2025年版）》</w:t>
                  </w:r>
                </w:p>
              </w:tc>
              <w:tc>
                <w:tcPr>
                  <w:tcW w:w="2646" w:type="pct"/>
                  <w:noWrap w:val="0"/>
                  <w:vAlign w:val="center"/>
                </w:tcPr>
                <w:p w14:paraId="4D826E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经查市场准入负面清单（2025年版），本项目不在其禁止准入类中</w:t>
                  </w:r>
                </w:p>
              </w:tc>
              <w:tc>
                <w:tcPr>
                  <w:tcW w:w="688" w:type="pct"/>
                  <w:noWrap w:val="0"/>
                  <w:vAlign w:val="center"/>
                </w:tcPr>
                <w:p w14:paraId="51B257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3D3F7C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3E3FE8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325" w:type="pct"/>
                  <w:noWrap w:val="0"/>
                  <w:vAlign w:val="center"/>
                </w:tcPr>
                <w:p w14:paraId="1F6CD4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《江苏省太湖流域禁止和限制的产业产品目录》（2024年本）</w:t>
                  </w:r>
                </w:p>
              </w:tc>
              <w:tc>
                <w:tcPr>
                  <w:tcW w:w="2646" w:type="pct"/>
                  <w:noWrap w:val="0"/>
                  <w:vAlign w:val="center"/>
                </w:tcPr>
                <w:p w14:paraId="6B3375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本项目不在《江苏省太湖流域禁止和限制的产业产品目录（2024年本）》中的限制、禁止、淘汰类中</w:t>
                  </w:r>
                </w:p>
              </w:tc>
              <w:tc>
                <w:tcPr>
                  <w:tcW w:w="688" w:type="pct"/>
                  <w:noWrap w:val="0"/>
                  <w:vAlign w:val="center"/>
                </w:tcPr>
                <w:p w14:paraId="0E207A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r w14:paraId="64A6E6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9" w:type="pct"/>
                  <w:noWrap w:val="0"/>
                  <w:vAlign w:val="center"/>
                </w:tcPr>
                <w:p w14:paraId="042564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325" w:type="pct"/>
                  <w:noWrap w:val="0"/>
                  <w:vAlign w:val="center"/>
                </w:tcPr>
                <w:p w14:paraId="0CA195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规划及产业定位相符性分析</w:t>
                  </w:r>
                </w:p>
              </w:tc>
              <w:tc>
                <w:tcPr>
                  <w:tcW w:w="2646" w:type="pct"/>
                  <w:noWrap w:val="0"/>
                  <w:vAlign w:val="center"/>
                </w:tcPr>
                <w:p w14:paraId="146318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rPr>
                    <w:t>本项目从事船舶配件的生产，属于[C2929]塑料零件及其他塑料制品制造，采用环保热稳定剂（钙锌热稳定剂）替代传统有毒稳定剂，减少环境风险；污染治理高效化：投料粉尘、挤出废气经“布袋除尘器+二级活性炭吸附”处理后达标排放，固废100%资源化或合规处置，符合园区“绿色环保”产业定位要求。产品属于船舶机械配套配件，依托园区“机械制造”基础产业，完善船舶装备产业链配套，与金属加工制造、汽车零部件等产业形成协同效应（如共享精密加工、表面处理等技术资源）。通过以上路径，企业产品可深度融入园区产业生态，符合园区产业定位要求。</w:t>
                  </w:r>
                </w:p>
              </w:tc>
              <w:tc>
                <w:tcPr>
                  <w:tcW w:w="688" w:type="pct"/>
                  <w:noWrap w:val="0"/>
                  <w:vAlign w:val="center"/>
                </w:tcPr>
                <w:p w14:paraId="4E4F6F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w:t>
                  </w:r>
                </w:p>
              </w:tc>
            </w:tr>
          </w:tbl>
          <w:p w14:paraId="46E5A0B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5、</w:t>
            </w:r>
            <w:r>
              <w:rPr>
                <w:rFonts w:hint="default" w:ascii="Times New Roman" w:hAnsi="Times New Roman" w:eastAsia="宋体" w:cs="Times New Roman"/>
                <w:b/>
                <w:color w:val="auto"/>
                <w:sz w:val="24"/>
                <w:szCs w:val="24"/>
              </w:rPr>
              <w:t>与</w:t>
            </w:r>
            <w:r>
              <w:rPr>
                <w:rFonts w:hint="default" w:ascii="Times New Roman" w:hAnsi="Times New Roman" w:eastAsia="宋体" w:cs="Times New Roman"/>
                <w:b/>
                <w:color w:val="auto"/>
                <w:sz w:val="24"/>
                <w:szCs w:val="24"/>
                <w:lang w:eastAsia="zh-CN"/>
              </w:rPr>
              <w:t>《</w:t>
            </w:r>
            <w:r>
              <w:rPr>
                <w:rFonts w:hint="default" w:ascii="Times New Roman" w:hAnsi="Times New Roman" w:eastAsia="宋体" w:cs="Times New Roman"/>
                <w:b/>
                <w:bCs w:val="0"/>
                <w:color w:val="auto"/>
                <w:sz w:val="24"/>
                <w:szCs w:val="24"/>
                <w:lang w:eastAsia="zh-CN"/>
              </w:rPr>
              <w:t>江苏省2023年度生态环境分区管控动态更新成果公告》、</w:t>
            </w:r>
            <w:r>
              <w:rPr>
                <w:rFonts w:hint="default" w:ascii="Times New Roman" w:hAnsi="Times New Roman" w:eastAsia="宋体" w:cs="Times New Roman"/>
                <w:b/>
                <w:bCs w:val="0"/>
                <w:color w:val="auto"/>
                <w:sz w:val="24"/>
                <w:szCs w:val="24"/>
              </w:rPr>
              <w:t>《江苏省政府关于印发江苏省“三线一单”生态环境分区管控方案的通知》（苏政发</w:t>
            </w:r>
            <w:r>
              <w:rPr>
                <w:rFonts w:hint="default" w:ascii="Times New Roman" w:hAnsi="Times New Roman" w:eastAsia="宋体" w:cs="Times New Roman"/>
                <w:b/>
                <w:bCs w:val="0"/>
                <w:color w:val="auto"/>
                <w:sz w:val="24"/>
                <w:szCs w:val="24"/>
                <w:lang w:eastAsia="zh-CN"/>
              </w:rPr>
              <w:t>〔2020〕49号</w:t>
            </w:r>
            <w:r>
              <w:rPr>
                <w:rFonts w:hint="default" w:ascii="Times New Roman" w:hAnsi="Times New Roman" w:eastAsia="宋体" w:cs="Times New Roman"/>
                <w:b/>
                <w:bCs w:val="0"/>
                <w:color w:val="auto"/>
                <w:sz w:val="24"/>
                <w:szCs w:val="24"/>
              </w:rPr>
              <w:t>）相符性分析</w:t>
            </w:r>
          </w:p>
          <w:p w14:paraId="4EFE2F76">
            <w:pPr>
              <w:keepNext w:val="0"/>
              <w:keepLines w:val="0"/>
              <w:pageBreakBefore w:val="0"/>
              <w:widowControl w:val="0"/>
              <w:kinsoku/>
              <w:wordWrap/>
              <w:overflowPunct/>
              <w:topLinePunct w:val="0"/>
              <w:autoSpaceDE w:val="0"/>
              <w:autoSpaceDN w:val="0"/>
              <w:bidi w:val="0"/>
              <w:adjustRightInd w:val="0"/>
              <w:snapToGrid w:val="0"/>
              <w:spacing w:line="480" w:lineRule="exact"/>
              <w:ind w:left="0" w:leftChars="0" w:firstLine="480" w:firstLineChars="200"/>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4"/>
                <w:szCs w:val="24"/>
              </w:rPr>
              <w:t>本项目位于</w:t>
            </w:r>
            <w:r>
              <w:rPr>
                <w:rFonts w:hint="default" w:ascii="Times New Roman" w:hAnsi="Times New Roman" w:eastAsia="宋体" w:cs="Times New Roman"/>
                <w:color w:val="auto"/>
                <w:sz w:val="24"/>
                <w:szCs w:val="24"/>
                <w:lang w:eastAsia="zh-CN"/>
              </w:rPr>
              <w:t>江苏省常州市金坛区儒园路1号</w:t>
            </w:r>
            <w:r>
              <w:rPr>
                <w:rFonts w:hint="default" w:ascii="Times New Roman" w:hAnsi="Times New Roman" w:eastAsia="宋体" w:cs="Times New Roman"/>
                <w:bCs/>
                <w:color w:val="auto"/>
                <w:sz w:val="24"/>
                <w:szCs w:val="24"/>
              </w:rPr>
              <w:t>，对照</w:t>
            </w:r>
            <w:r>
              <w:rPr>
                <w:rFonts w:hint="default" w:ascii="Times New Roman" w:hAnsi="Times New Roman" w:eastAsia="宋体" w:cs="Times New Roman"/>
                <w:bCs/>
                <w:color w:val="auto"/>
                <w:sz w:val="24"/>
                <w:szCs w:val="24"/>
                <w:lang w:eastAsia="zh-CN"/>
              </w:rPr>
              <w:t>《江苏省2023年度生态环境分区管控动态更新成果公告</w:t>
            </w:r>
            <w:r>
              <w:rPr>
                <w:rFonts w:hint="default"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rPr>
              <w:t>《江苏省政府关于印发江苏省“三线一单”生态环境分区管控方案的通知》（苏政发</w:t>
            </w:r>
            <w:r>
              <w:rPr>
                <w:rFonts w:hint="default" w:ascii="Times New Roman" w:hAnsi="Times New Roman" w:eastAsia="宋体" w:cs="Times New Roman"/>
                <w:b w:val="0"/>
                <w:bCs/>
                <w:color w:val="auto"/>
                <w:sz w:val="24"/>
                <w:szCs w:val="24"/>
                <w:lang w:eastAsia="zh-CN"/>
              </w:rPr>
              <w:t>〔2020〕49号</w:t>
            </w:r>
            <w:r>
              <w:rPr>
                <w:rFonts w:hint="default" w:ascii="Times New Roman" w:hAnsi="Times New Roman" w:eastAsia="宋体" w:cs="Times New Roman"/>
                <w:b w:val="0"/>
                <w:bCs/>
                <w:color w:val="auto"/>
                <w:sz w:val="24"/>
                <w:szCs w:val="24"/>
              </w:rPr>
              <w:t>）可</w:t>
            </w:r>
            <w:r>
              <w:rPr>
                <w:rFonts w:hint="default" w:ascii="Times New Roman" w:hAnsi="Times New Roman" w:eastAsia="宋体" w:cs="Times New Roman"/>
                <w:bCs/>
                <w:color w:val="auto"/>
                <w:sz w:val="24"/>
                <w:szCs w:val="24"/>
              </w:rPr>
              <w:t>知，项目</w:t>
            </w:r>
            <w:r>
              <w:rPr>
                <w:rFonts w:hint="default" w:ascii="Times New Roman" w:hAnsi="Times New Roman" w:eastAsia="宋体" w:cs="Times New Roman"/>
                <w:bCs/>
                <w:color w:val="auto"/>
                <w:sz w:val="24"/>
                <w:szCs w:val="24"/>
                <w:lang w:val="en-US" w:eastAsia="zh-CN"/>
              </w:rPr>
              <w:t>属于金坛区儒林现代产业园，</w:t>
            </w:r>
            <w:r>
              <w:rPr>
                <w:rFonts w:hint="default" w:ascii="Times New Roman" w:hAnsi="Times New Roman" w:eastAsia="宋体" w:cs="Times New Roman"/>
                <w:bCs/>
                <w:color w:val="auto"/>
                <w:sz w:val="24"/>
                <w:szCs w:val="24"/>
              </w:rPr>
              <w:t>位于</w:t>
            </w:r>
            <w:r>
              <w:rPr>
                <w:rFonts w:hint="default" w:ascii="Times New Roman" w:hAnsi="Times New Roman" w:eastAsia="宋体" w:cs="Times New Roman"/>
                <w:bCs/>
                <w:color w:val="auto"/>
                <w:sz w:val="24"/>
                <w:szCs w:val="24"/>
                <w:highlight w:val="none"/>
              </w:rPr>
              <w:t>重点管控单元，</w:t>
            </w:r>
            <w:r>
              <w:rPr>
                <w:rFonts w:hint="default" w:ascii="Times New Roman" w:hAnsi="Times New Roman" w:eastAsia="宋体" w:cs="Times New Roman"/>
                <w:bCs/>
                <w:color w:val="auto"/>
                <w:sz w:val="24"/>
                <w:szCs w:val="24"/>
              </w:rPr>
              <w:t>其重点管控要求与本项目的相符性分析见</w:t>
            </w:r>
            <w:r>
              <w:rPr>
                <w:rFonts w:hint="default" w:ascii="Times New Roman" w:hAnsi="Times New Roman" w:eastAsia="宋体" w:cs="Times New Roman"/>
                <w:bCs/>
                <w:color w:val="auto"/>
                <w:sz w:val="24"/>
                <w:szCs w:val="24"/>
                <w:lang w:val="en-US" w:eastAsia="zh-CN"/>
              </w:rPr>
              <w:t>下表</w:t>
            </w:r>
            <w:r>
              <w:rPr>
                <w:rFonts w:hint="default" w:ascii="Times New Roman" w:hAnsi="Times New Roman" w:eastAsia="宋体" w:cs="Times New Roman"/>
                <w:bCs/>
                <w:color w:val="auto"/>
                <w:sz w:val="24"/>
                <w:szCs w:val="24"/>
              </w:rPr>
              <w:t>。</w:t>
            </w:r>
          </w:p>
          <w:p w14:paraId="0A9298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eastAsia="zh-CN"/>
              </w:rPr>
              <w:t>《江苏省2023年度生态环境分区管控动态更新成果公告》</w:t>
            </w:r>
            <w:r>
              <w:rPr>
                <w:rFonts w:hint="default" w:ascii="Times New Roman" w:hAnsi="Times New Roman" w:eastAsia="宋体" w:cs="Times New Roman"/>
                <w:b/>
                <w:bCs/>
                <w:color w:val="auto"/>
                <w:sz w:val="21"/>
                <w:szCs w:val="21"/>
              </w:rPr>
              <w:t>相符性分析</w:t>
            </w:r>
          </w:p>
          <w:tbl>
            <w:tblPr>
              <w:tblStyle w:val="4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0"/>
              <w:gridCol w:w="4992"/>
              <w:gridCol w:w="2826"/>
              <w:gridCol w:w="773"/>
            </w:tblGrid>
            <w:tr w14:paraId="287B5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6" w:type="pct"/>
                  <w:gridSpan w:val="2"/>
                  <w:tcBorders>
                    <w:tl2br w:val="nil"/>
                    <w:tr2bl w:val="nil"/>
                  </w:tcBorders>
                  <w:noWrap w:val="0"/>
                  <w:tcMar>
                    <w:top w:w="0" w:type="dxa"/>
                    <w:left w:w="0" w:type="dxa"/>
                    <w:bottom w:w="0" w:type="dxa"/>
                    <w:right w:w="0" w:type="dxa"/>
                  </w:tcMar>
                  <w:vAlign w:val="center"/>
                </w:tcPr>
                <w:p w14:paraId="02F85F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管控要求</w:t>
                  </w:r>
                </w:p>
              </w:tc>
              <w:tc>
                <w:tcPr>
                  <w:tcW w:w="1525" w:type="pct"/>
                  <w:tcBorders>
                    <w:tl2br w:val="nil"/>
                    <w:tr2bl w:val="nil"/>
                  </w:tcBorders>
                  <w:noWrap w:val="0"/>
                  <w:tcMar>
                    <w:top w:w="0" w:type="dxa"/>
                    <w:left w:w="0" w:type="dxa"/>
                    <w:bottom w:w="0" w:type="dxa"/>
                    <w:right w:w="0" w:type="dxa"/>
                  </w:tcMar>
                  <w:vAlign w:val="center"/>
                </w:tcPr>
                <w:p w14:paraId="3A2BB3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417" w:type="pct"/>
                  <w:tcBorders>
                    <w:tl2br w:val="nil"/>
                    <w:tr2bl w:val="nil"/>
                  </w:tcBorders>
                  <w:noWrap w:val="0"/>
                  <w:tcMar>
                    <w:top w:w="0" w:type="dxa"/>
                    <w:left w:w="0" w:type="dxa"/>
                    <w:bottom w:w="0" w:type="dxa"/>
                    <w:right w:w="0" w:type="dxa"/>
                  </w:tcMar>
                  <w:vAlign w:val="center"/>
                </w:tcPr>
                <w:p w14:paraId="4863EB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49C63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362" w:type="pct"/>
                  <w:vMerge w:val="restart"/>
                  <w:tcBorders>
                    <w:tl2br w:val="nil"/>
                    <w:tr2bl w:val="nil"/>
                  </w:tcBorders>
                  <w:noWrap w:val="0"/>
                  <w:tcMar>
                    <w:top w:w="0" w:type="dxa"/>
                    <w:left w:w="0" w:type="dxa"/>
                    <w:bottom w:w="0" w:type="dxa"/>
                    <w:right w:w="0" w:type="dxa"/>
                  </w:tcMar>
                  <w:vAlign w:val="center"/>
                </w:tcPr>
                <w:p w14:paraId="563A42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693" w:type="pct"/>
                  <w:tcBorders>
                    <w:tl2br w:val="nil"/>
                    <w:tr2bl w:val="nil"/>
                  </w:tcBorders>
                  <w:noWrap w:val="0"/>
                  <w:tcMar>
                    <w:top w:w="0" w:type="dxa"/>
                    <w:left w:w="0" w:type="dxa"/>
                    <w:bottom w:w="0" w:type="dxa"/>
                    <w:right w:w="0" w:type="dxa"/>
                  </w:tcMar>
                  <w:vAlign w:val="center"/>
                </w:tcPr>
                <w:p w14:paraId="2F81D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按照《自然资源部生态环境部国家林业和草原局关于加强生态保护红线管理的通知（试行）》（自然资发〔2022〕142号）、《省政府关于印发江苏省生态空间管控区域规划的通知》（苏政发〔2020〕1号）、《关于进一步加强生态保护红线监督管理的通知》（苏自然函</w:t>
                  </w:r>
                  <w:r>
                    <w:rPr>
                      <w:rFonts w:hint="default" w:ascii="Times New Roman" w:hAnsi="Times New Roman" w:eastAsia="宋体" w:cs="Times New Roman"/>
                      <w:color w:val="auto"/>
                      <w:sz w:val="21"/>
                      <w:szCs w:val="21"/>
                      <w:lang w:eastAsia="zh-CN"/>
                    </w:rPr>
                    <w:t>〔2023〕880号</w:t>
                  </w:r>
                  <w:r>
                    <w:rPr>
                      <w:rFonts w:hint="default" w:ascii="Times New Roman" w:hAnsi="Times New Roman" w:eastAsia="宋体" w:cs="Times New Roman"/>
                      <w:color w:val="auto"/>
                      <w:sz w:val="21"/>
                      <w:szCs w:val="21"/>
                    </w:rPr>
                    <w:t>）、《江苏省国土空间规划（2021—2035年）》（国函〔2023〕69号），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生态安全。生态保护红线不低于1.82万平方千米，其中海洋生态保护红线不低于0.95万平方千米。</w:t>
                  </w:r>
                </w:p>
              </w:tc>
              <w:tc>
                <w:tcPr>
                  <w:tcW w:w="1525" w:type="pct"/>
                  <w:tcBorders>
                    <w:tl2br w:val="nil"/>
                    <w:tr2bl w:val="nil"/>
                  </w:tcBorders>
                  <w:noWrap w:val="0"/>
                  <w:tcMar>
                    <w:top w:w="0" w:type="dxa"/>
                    <w:left w:w="0" w:type="dxa"/>
                    <w:bottom w:w="0" w:type="dxa"/>
                    <w:right w:w="0" w:type="dxa"/>
                  </w:tcMar>
                  <w:vAlign w:val="center"/>
                </w:tcPr>
                <w:p w14:paraId="281F37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本项目不在生态保护红线范围内，项目实施后，不会使生态</w:t>
                  </w:r>
                  <w:r>
                    <w:rPr>
                      <w:rFonts w:hint="default" w:ascii="Times New Roman" w:hAnsi="Times New Roman" w:eastAsia="宋体" w:cs="Times New Roman"/>
                      <w:color w:val="auto"/>
                      <w:sz w:val="21"/>
                      <w:szCs w:val="21"/>
                      <w:lang w:eastAsia="zh-CN"/>
                    </w:rPr>
                    <w:t>功能</w:t>
                  </w:r>
                  <w:r>
                    <w:rPr>
                      <w:rFonts w:hint="default" w:ascii="Times New Roman" w:hAnsi="Times New Roman" w:eastAsia="宋体" w:cs="Times New Roman"/>
                      <w:color w:val="auto"/>
                      <w:sz w:val="21"/>
                      <w:szCs w:val="21"/>
                    </w:rPr>
                    <w:t>降低、不会影响生态空间面积、不会改变生态空间性质。</w:t>
                  </w:r>
                </w:p>
              </w:tc>
              <w:tc>
                <w:tcPr>
                  <w:tcW w:w="417" w:type="pct"/>
                  <w:tcBorders>
                    <w:tl2br w:val="nil"/>
                    <w:tr2bl w:val="nil"/>
                  </w:tcBorders>
                  <w:noWrap w:val="0"/>
                  <w:tcMar>
                    <w:top w:w="0" w:type="dxa"/>
                    <w:left w:w="0" w:type="dxa"/>
                    <w:bottom w:w="0" w:type="dxa"/>
                    <w:right w:w="0" w:type="dxa"/>
                  </w:tcMar>
                  <w:vAlign w:val="center"/>
                </w:tcPr>
                <w:p w14:paraId="0A5098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60CC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37102D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5A5D2C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牢牢把握推动长江经济带发展“共抓大保护，不搞大开发”战略导向，对省域范围内需要重点保护的岸线、河段和区域实行严格管控，管住控好排放量大、耗能高、产能过剩的产业，推动长江经济带高质量发展。</w:t>
                  </w:r>
                </w:p>
              </w:tc>
              <w:tc>
                <w:tcPr>
                  <w:tcW w:w="1525" w:type="pct"/>
                  <w:tcBorders>
                    <w:tl2br w:val="nil"/>
                    <w:tr2bl w:val="nil"/>
                  </w:tcBorders>
                  <w:noWrap w:val="0"/>
                  <w:tcMar>
                    <w:top w:w="0" w:type="dxa"/>
                    <w:left w:w="0" w:type="dxa"/>
                    <w:bottom w:w="0" w:type="dxa"/>
                    <w:right w:w="0" w:type="dxa"/>
                  </w:tcMar>
                  <w:vAlign w:val="center"/>
                </w:tcPr>
                <w:p w14:paraId="2FB41E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本项目不在重点保护的岸线、河段、区域范围内，不属于排放量大、</w:t>
                  </w:r>
                  <w:r>
                    <w:rPr>
                      <w:rFonts w:hint="default" w:ascii="Times New Roman" w:hAnsi="Times New Roman" w:eastAsia="宋体" w:cs="Times New Roman"/>
                      <w:color w:val="auto"/>
                      <w:sz w:val="21"/>
                      <w:szCs w:val="21"/>
                    </w:rPr>
                    <w:t>耗能高</w:t>
                  </w:r>
                  <w:r>
                    <w:rPr>
                      <w:rFonts w:hint="default" w:ascii="Times New Roman" w:hAnsi="Times New Roman" w:eastAsia="宋体" w:cs="Times New Roman"/>
                      <w:color w:val="auto"/>
                      <w:sz w:val="21"/>
                      <w:szCs w:val="21"/>
                      <w:lang w:val="en-US" w:eastAsia="zh-CN"/>
                    </w:rPr>
                    <w:t>、产能过剩的产业。</w:t>
                  </w:r>
                </w:p>
              </w:tc>
              <w:tc>
                <w:tcPr>
                  <w:tcW w:w="417" w:type="pct"/>
                  <w:tcBorders>
                    <w:tl2br w:val="nil"/>
                    <w:tr2bl w:val="nil"/>
                  </w:tcBorders>
                  <w:noWrap w:val="0"/>
                  <w:tcMar>
                    <w:top w:w="0" w:type="dxa"/>
                    <w:left w:w="0" w:type="dxa"/>
                    <w:bottom w:w="0" w:type="dxa"/>
                    <w:right w:w="0" w:type="dxa"/>
                  </w:tcMar>
                  <w:vAlign w:val="center"/>
                </w:tcPr>
                <w:p w14:paraId="058C48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7F23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6A7FEA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4B7C5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大幅压减沿长江干支流两侧1公里范围内、环境敏感区域、城镇人口密集区、化工园区外和规模以下化工生产企业，着力破解“重化围江”突出问题，高起点同步推进沿江地区战略性转型和沿海地区战略性布局。</w:t>
                  </w:r>
                </w:p>
              </w:tc>
              <w:tc>
                <w:tcPr>
                  <w:tcW w:w="1525" w:type="pct"/>
                  <w:tcBorders>
                    <w:tl2br w:val="nil"/>
                    <w:tr2bl w:val="nil"/>
                  </w:tcBorders>
                  <w:noWrap w:val="0"/>
                  <w:tcMar>
                    <w:top w:w="0" w:type="dxa"/>
                    <w:left w:w="0" w:type="dxa"/>
                    <w:bottom w:w="0" w:type="dxa"/>
                    <w:right w:w="0" w:type="dxa"/>
                  </w:tcMar>
                  <w:vAlign w:val="center"/>
                </w:tcPr>
                <w:p w14:paraId="6A015C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本项目不在长江干支流两侧1公里范围内。</w:t>
                  </w:r>
                </w:p>
              </w:tc>
              <w:tc>
                <w:tcPr>
                  <w:tcW w:w="417" w:type="pct"/>
                  <w:tcBorders>
                    <w:tl2br w:val="nil"/>
                    <w:tr2bl w:val="nil"/>
                  </w:tcBorders>
                  <w:noWrap w:val="0"/>
                  <w:tcMar>
                    <w:top w:w="0" w:type="dxa"/>
                    <w:left w:w="0" w:type="dxa"/>
                    <w:bottom w:w="0" w:type="dxa"/>
                    <w:right w:w="0" w:type="dxa"/>
                  </w:tcMar>
                  <w:vAlign w:val="center"/>
                </w:tcPr>
                <w:p w14:paraId="5D38F8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7211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43056F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4EA018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全省钢铁行业坚持布局调整和产能整合相结合，坚持企业搬迁与转型升级相结合，鼓励有条件的企业实施跨地区、跨所有制的兼并重组，高起点、高标准规划建设沿海精品钢基地，做精做优沿江特钢产业基地，加快推动全省钢铁行业转型升级优化布局。</w:t>
                  </w:r>
                </w:p>
              </w:tc>
              <w:tc>
                <w:tcPr>
                  <w:tcW w:w="1525" w:type="pct"/>
                  <w:tcBorders>
                    <w:tl2br w:val="nil"/>
                    <w:tr2bl w:val="nil"/>
                  </w:tcBorders>
                  <w:noWrap w:val="0"/>
                  <w:tcMar>
                    <w:top w:w="0" w:type="dxa"/>
                    <w:left w:w="0" w:type="dxa"/>
                    <w:bottom w:w="0" w:type="dxa"/>
                    <w:right w:w="0" w:type="dxa"/>
                  </w:tcMar>
                  <w:vAlign w:val="center"/>
                </w:tcPr>
                <w:p w14:paraId="4CD547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本项目不属于钢铁行业。</w:t>
                  </w:r>
                </w:p>
              </w:tc>
              <w:tc>
                <w:tcPr>
                  <w:tcW w:w="417" w:type="pct"/>
                  <w:tcBorders>
                    <w:tl2br w:val="nil"/>
                    <w:tr2bl w:val="nil"/>
                  </w:tcBorders>
                  <w:noWrap w:val="0"/>
                  <w:tcMar>
                    <w:top w:w="0" w:type="dxa"/>
                    <w:left w:w="0" w:type="dxa"/>
                    <w:bottom w:w="0" w:type="dxa"/>
                    <w:right w:w="0" w:type="dxa"/>
                  </w:tcMar>
                  <w:vAlign w:val="center"/>
                </w:tcPr>
                <w:p w14:paraId="0CC617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A08D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6EEED3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33C922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5．对列入国家和省规划，涉及生态保护红线和相关法定保护区的重大民生项目、重大基础设施项目（交通基础设施项目等），应优化空间布局（选线）、主动避让；确实无法避让的，应采取无害化方式（如无害化穿、跨越方式等），依法依规履行行政审批手续，强化减缓生态环境影响和生态补偿措施</w:t>
                  </w:r>
                  <w:r>
                    <w:rPr>
                      <w:rFonts w:hint="default" w:ascii="Times New Roman" w:hAnsi="Times New Roman" w:eastAsia="宋体" w:cs="Times New Roman"/>
                      <w:color w:val="auto"/>
                      <w:sz w:val="21"/>
                      <w:szCs w:val="21"/>
                      <w:lang w:eastAsia="zh-CN"/>
                    </w:rPr>
                    <w:t>。</w:t>
                  </w:r>
                </w:p>
              </w:tc>
              <w:tc>
                <w:tcPr>
                  <w:tcW w:w="1525" w:type="pct"/>
                  <w:tcBorders>
                    <w:tl2br w:val="nil"/>
                    <w:tr2bl w:val="nil"/>
                  </w:tcBorders>
                  <w:noWrap w:val="0"/>
                  <w:tcMar>
                    <w:top w:w="0" w:type="dxa"/>
                    <w:left w:w="0" w:type="dxa"/>
                    <w:bottom w:w="0" w:type="dxa"/>
                    <w:right w:w="0" w:type="dxa"/>
                  </w:tcMar>
                  <w:vAlign w:val="center"/>
                </w:tcPr>
                <w:p w14:paraId="62500C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不涉及</w:t>
                  </w:r>
                  <w:r>
                    <w:rPr>
                      <w:rFonts w:hint="default" w:ascii="Times New Roman" w:hAnsi="Times New Roman" w:eastAsia="宋体" w:cs="Times New Roman"/>
                      <w:color w:val="auto"/>
                      <w:sz w:val="21"/>
                      <w:szCs w:val="21"/>
                    </w:rPr>
                    <w:t>生态保护红线</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相关法定保护区的重大民生项目、</w:t>
                  </w:r>
                  <w:r>
                    <w:rPr>
                      <w:rFonts w:hint="default" w:ascii="Times New Roman" w:hAnsi="Times New Roman" w:eastAsia="宋体" w:cs="Times New Roman"/>
                      <w:color w:val="auto"/>
                      <w:sz w:val="21"/>
                      <w:szCs w:val="21"/>
                    </w:rPr>
                    <w:t>重大基础设施项目</w:t>
                  </w:r>
                  <w:r>
                    <w:rPr>
                      <w:rFonts w:hint="default" w:ascii="Times New Roman" w:hAnsi="Times New Roman" w:eastAsia="宋体" w:cs="Times New Roman"/>
                      <w:color w:val="auto"/>
                      <w:sz w:val="21"/>
                      <w:szCs w:val="21"/>
                      <w:lang w:eastAsia="zh-CN"/>
                    </w:rPr>
                    <w:t>。</w:t>
                  </w:r>
                </w:p>
              </w:tc>
              <w:tc>
                <w:tcPr>
                  <w:tcW w:w="417" w:type="pct"/>
                  <w:tcBorders>
                    <w:tl2br w:val="nil"/>
                    <w:tr2bl w:val="nil"/>
                  </w:tcBorders>
                  <w:noWrap w:val="0"/>
                  <w:tcMar>
                    <w:top w:w="0" w:type="dxa"/>
                    <w:left w:w="0" w:type="dxa"/>
                    <w:bottom w:w="0" w:type="dxa"/>
                    <w:right w:w="0" w:type="dxa"/>
                  </w:tcMar>
                  <w:vAlign w:val="center"/>
                </w:tcPr>
                <w:p w14:paraId="331EE4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4443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restart"/>
                  <w:tcBorders>
                    <w:tl2br w:val="nil"/>
                    <w:tr2bl w:val="nil"/>
                  </w:tcBorders>
                  <w:noWrap w:val="0"/>
                  <w:tcMar>
                    <w:top w:w="0" w:type="dxa"/>
                    <w:left w:w="0" w:type="dxa"/>
                    <w:bottom w:w="0" w:type="dxa"/>
                    <w:right w:w="0" w:type="dxa"/>
                  </w:tcMar>
                  <w:vAlign w:val="center"/>
                </w:tcPr>
                <w:p w14:paraId="665056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693" w:type="pct"/>
                  <w:tcBorders>
                    <w:tl2br w:val="nil"/>
                    <w:tr2bl w:val="nil"/>
                  </w:tcBorders>
                  <w:noWrap w:val="0"/>
                  <w:tcMar>
                    <w:top w:w="0" w:type="dxa"/>
                    <w:left w:w="0" w:type="dxa"/>
                    <w:bottom w:w="0" w:type="dxa"/>
                    <w:right w:w="0" w:type="dxa"/>
                  </w:tcMar>
                  <w:vAlign w:val="center"/>
                </w:tcPr>
                <w:p w14:paraId="657294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1．坚持生态环境质量只能更好、不能变坏，实施污染物总量控制，以环境容量定产业、定项目、定规模，确保开发建设行为不突破生态环境承载力。</w:t>
                  </w:r>
                </w:p>
              </w:tc>
              <w:tc>
                <w:tcPr>
                  <w:tcW w:w="1525" w:type="pct"/>
                  <w:tcBorders>
                    <w:tl2br w:val="nil"/>
                    <w:tr2bl w:val="nil"/>
                  </w:tcBorders>
                  <w:noWrap w:val="0"/>
                  <w:tcMar>
                    <w:top w:w="0" w:type="dxa"/>
                    <w:left w:w="0" w:type="dxa"/>
                    <w:bottom w:w="0" w:type="dxa"/>
                    <w:right w:w="0" w:type="dxa"/>
                  </w:tcMar>
                  <w:vAlign w:val="center"/>
                </w:tcPr>
                <w:p w14:paraId="6BEA38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本项目应按要求向常州市金坛生态环境局申请总量。</w:t>
                  </w:r>
                </w:p>
              </w:tc>
              <w:tc>
                <w:tcPr>
                  <w:tcW w:w="417" w:type="pct"/>
                  <w:tcBorders>
                    <w:tl2br w:val="nil"/>
                    <w:tr2bl w:val="nil"/>
                  </w:tcBorders>
                  <w:noWrap w:val="0"/>
                  <w:tcMar>
                    <w:top w:w="0" w:type="dxa"/>
                    <w:left w:w="0" w:type="dxa"/>
                    <w:bottom w:w="0" w:type="dxa"/>
                    <w:right w:w="0" w:type="dxa"/>
                  </w:tcMar>
                  <w:vAlign w:val="center"/>
                </w:tcPr>
                <w:p w14:paraId="0A401C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8A47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6A51B0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3F96A6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2025年，主要污染物排放减排完成国家下达任务，单位工业增加值二氧化碳排放量下降20%，主要高耗能行业单位产品二氧化碳排放达到世界先进水平。实施氮氧化物（NOx）和VOCs协同减排，推进多污染物和关联区域联防联控。</w:t>
                  </w:r>
                </w:p>
              </w:tc>
              <w:tc>
                <w:tcPr>
                  <w:tcW w:w="1525" w:type="pct"/>
                  <w:tcBorders>
                    <w:tl2br w:val="nil"/>
                    <w:tr2bl w:val="nil"/>
                  </w:tcBorders>
                  <w:noWrap w:val="0"/>
                  <w:tcMar>
                    <w:top w:w="0" w:type="dxa"/>
                    <w:left w:w="0" w:type="dxa"/>
                    <w:bottom w:w="0" w:type="dxa"/>
                    <w:right w:w="0" w:type="dxa"/>
                  </w:tcMar>
                  <w:vAlign w:val="center"/>
                </w:tcPr>
                <w:p w14:paraId="6B461C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w:t>
                  </w:r>
                  <w:r>
                    <w:rPr>
                      <w:rFonts w:hint="default" w:ascii="Times New Roman" w:hAnsi="Times New Roman" w:eastAsia="宋体" w:cs="Times New Roman"/>
                      <w:color w:val="auto"/>
                      <w:sz w:val="21"/>
                      <w:szCs w:val="21"/>
                      <w:lang w:val="en-US" w:eastAsia="zh-CN"/>
                    </w:rPr>
                    <w:t>高能耗</w:t>
                  </w:r>
                  <w:r>
                    <w:rPr>
                      <w:rFonts w:hint="default" w:ascii="Times New Roman" w:hAnsi="Times New Roman" w:eastAsia="宋体" w:cs="Times New Roman"/>
                      <w:color w:val="auto"/>
                      <w:sz w:val="21"/>
                      <w:szCs w:val="21"/>
                    </w:rPr>
                    <w:t>工业，</w:t>
                  </w:r>
                  <w:r>
                    <w:rPr>
                      <w:rFonts w:hint="default" w:ascii="Times New Roman" w:hAnsi="Times New Roman" w:eastAsia="宋体" w:cs="Times New Roman"/>
                      <w:color w:val="auto"/>
                      <w:sz w:val="21"/>
                      <w:szCs w:val="21"/>
                      <w:lang w:val="en-US" w:eastAsia="zh-CN"/>
                    </w:rPr>
                    <w:t>项目有机废气排放量较低，在金坛区内平衡</w:t>
                  </w:r>
                  <w:r>
                    <w:rPr>
                      <w:rFonts w:hint="default" w:ascii="Times New Roman" w:hAnsi="Times New Roman" w:eastAsia="宋体" w:cs="Times New Roman"/>
                      <w:color w:val="auto"/>
                      <w:sz w:val="21"/>
                      <w:szCs w:val="21"/>
                    </w:rPr>
                    <w:t>。</w:t>
                  </w:r>
                </w:p>
              </w:tc>
              <w:tc>
                <w:tcPr>
                  <w:tcW w:w="417" w:type="pct"/>
                  <w:tcBorders>
                    <w:tl2br w:val="nil"/>
                    <w:tr2bl w:val="nil"/>
                  </w:tcBorders>
                  <w:noWrap w:val="0"/>
                  <w:tcMar>
                    <w:top w:w="0" w:type="dxa"/>
                    <w:left w:w="0" w:type="dxa"/>
                    <w:bottom w:w="0" w:type="dxa"/>
                    <w:right w:w="0" w:type="dxa"/>
                  </w:tcMar>
                  <w:vAlign w:val="center"/>
                </w:tcPr>
                <w:p w14:paraId="5E673A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291BA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restart"/>
                  <w:tcBorders>
                    <w:tl2br w:val="nil"/>
                    <w:tr2bl w:val="nil"/>
                  </w:tcBorders>
                  <w:noWrap w:val="0"/>
                  <w:tcMar>
                    <w:top w:w="0" w:type="dxa"/>
                    <w:left w:w="0" w:type="dxa"/>
                    <w:bottom w:w="0" w:type="dxa"/>
                    <w:right w:w="0" w:type="dxa"/>
                  </w:tcMar>
                  <w:vAlign w:val="center"/>
                </w:tcPr>
                <w:p w14:paraId="7A6E8D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693" w:type="pct"/>
                  <w:tcBorders>
                    <w:tl2br w:val="nil"/>
                    <w:tr2bl w:val="nil"/>
                  </w:tcBorders>
                  <w:noWrap w:val="0"/>
                  <w:tcMar>
                    <w:top w:w="0" w:type="dxa"/>
                    <w:left w:w="0" w:type="dxa"/>
                    <w:bottom w:w="0" w:type="dxa"/>
                    <w:right w:w="0" w:type="dxa"/>
                  </w:tcMar>
                  <w:vAlign w:val="center"/>
                </w:tcPr>
                <w:p w14:paraId="6EBD5F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强化化工行业环境风险管控。重点加强化学工业园区、涉及大宗危化品使用企业、贮存和运输危化品的港口码头、尾矿库、集中式污水处理厂、危废处理企业的环境风险防控；严厉打击危险废物非法转移、处置和倾倒行为；加强关闭搬迁化工企业及遗留地块的调查评估、风险管控、治理修复。</w:t>
                  </w:r>
                </w:p>
              </w:tc>
              <w:tc>
                <w:tcPr>
                  <w:tcW w:w="1525" w:type="pct"/>
                  <w:tcBorders>
                    <w:tl2br w:val="nil"/>
                    <w:tr2bl w:val="nil"/>
                  </w:tcBorders>
                  <w:noWrap w:val="0"/>
                  <w:tcMar>
                    <w:top w:w="0" w:type="dxa"/>
                    <w:left w:w="0" w:type="dxa"/>
                    <w:bottom w:w="0" w:type="dxa"/>
                    <w:right w:w="0" w:type="dxa"/>
                  </w:tcMar>
                  <w:vAlign w:val="center"/>
                </w:tcPr>
                <w:p w14:paraId="350A45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本项目不运输剧毒物质和危险化学品；</w:t>
                  </w:r>
                  <w:r>
                    <w:rPr>
                      <w:rFonts w:hint="default" w:ascii="Times New Roman" w:hAnsi="Times New Roman" w:eastAsia="宋体" w:cs="Times New Roman"/>
                      <w:color w:val="auto"/>
                      <w:sz w:val="21"/>
                      <w:szCs w:val="21"/>
                      <w:lang w:val="en-US" w:eastAsia="zh-CN"/>
                    </w:rPr>
                    <w:t>本项目</w:t>
                  </w:r>
                  <w:r>
                    <w:rPr>
                      <w:rFonts w:hint="default" w:ascii="Times New Roman" w:hAnsi="Times New Roman" w:eastAsia="宋体" w:cs="Times New Roman"/>
                      <w:color w:val="auto"/>
                      <w:sz w:val="21"/>
                      <w:szCs w:val="21"/>
                    </w:rPr>
                    <w:t>产生的危险废物交由有资质单位处置，</w:t>
                  </w:r>
                  <w:r>
                    <w:rPr>
                      <w:rFonts w:hint="default" w:ascii="Times New Roman" w:hAnsi="Times New Roman" w:eastAsia="宋体" w:cs="Times New Roman"/>
                      <w:color w:val="auto"/>
                      <w:sz w:val="21"/>
                      <w:szCs w:val="21"/>
                      <w:lang w:val="en-US" w:eastAsia="zh-CN"/>
                    </w:rPr>
                    <w:t>零</w:t>
                  </w:r>
                  <w:r>
                    <w:rPr>
                      <w:rFonts w:hint="default" w:ascii="Times New Roman" w:hAnsi="Times New Roman" w:eastAsia="宋体" w:cs="Times New Roman"/>
                      <w:color w:val="auto"/>
                      <w:sz w:val="21"/>
                      <w:szCs w:val="21"/>
                    </w:rPr>
                    <w:t>排放。</w:t>
                  </w:r>
                </w:p>
              </w:tc>
              <w:tc>
                <w:tcPr>
                  <w:tcW w:w="417" w:type="pct"/>
                  <w:tcBorders>
                    <w:tl2br w:val="nil"/>
                    <w:tr2bl w:val="nil"/>
                  </w:tcBorders>
                  <w:noWrap w:val="0"/>
                  <w:tcMar>
                    <w:top w:w="0" w:type="dxa"/>
                    <w:left w:w="0" w:type="dxa"/>
                    <w:bottom w:w="0" w:type="dxa"/>
                    <w:right w:w="0" w:type="dxa"/>
                  </w:tcMar>
                  <w:vAlign w:val="center"/>
                </w:tcPr>
                <w:p w14:paraId="042953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相符</w:t>
                  </w:r>
                </w:p>
              </w:tc>
            </w:tr>
            <w:tr w14:paraId="04656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06D2DF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1C1EA2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2．强化环境事故应急管理。深化跨部门、跨区域环境应急协调联动，分区域建立环境应急物资储备库。各级工业园区（集聚区）和企业的环境应急装备和储备物资应纳入储备体系。</w:t>
                  </w:r>
                </w:p>
              </w:tc>
              <w:tc>
                <w:tcPr>
                  <w:tcW w:w="1525" w:type="pct"/>
                  <w:tcBorders>
                    <w:tl2br w:val="nil"/>
                    <w:tr2bl w:val="nil"/>
                  </w:tcBorders>
                  <w:noWrap w:val="0"/>
                  <w:tcMar>
                    <w:top w:w="0" w:type="dxa"/>
                    <w:left w:w="0" w:type="dxa"/>
                    <w:bottom w:w="0" w:type="dxa"/>
                    <w:right w:w="0" w:type="dxa"/>
                  </w:tcMar>
                  <w:vAlign w:val="center"/>
                </w:tcPr>
                <w:p w14:paraId="79D7FC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项目实施后，按要求</w:t>
                  </w:r>
                  <w:r>
                    <w:rPr>
                      <w:rFonts w:hint="default" w:ascii="Times New Roman" w:hAnsi="Times New Roman" w:eastAsia="宋体" w:cs="Times New Roman"/>
                      <w:color w:val="auto"/>
                      <w:sz w:val="21"/>
                      <w:szCs w:val="21"/>
                      <w:lang w:val="en-US" w:eastAsia="zh-CN"/>
                    </w:rPr>
                    <w:t>配备环境应急装备、储备应急物资</w:t>
                  </w:r>
                  <w:r>
                    <w:rPr>
                      <w:rFonts w:hint="default" w:ascii="Times New Roman" w:hAnsi="Times New Roman" w:eastAsia="宋体" w:cs="Times New Roman"/>
                      <w:color w:val="auto"/>
                      <w:sz w:val="21"/>
                      <w:szCs w:val="21"/>
                    </w:rPr>
                    <w:t>。</w:t>
                  </w:r>
                </w:p>
              </w:tc>
              <w:tc>
                <w:tcPr>
                  <w:tcW w:w="417" w:type="pct"/>
                  <w:tcBorders>
                    <w:tl2br w:val="nil"/>
                    <w:tr2bl w:val="nil"/>
                  </w:tcBorders>
                  <w:noWrap w:val="0"/>
                  <w:tcMar>
                    <w:top w:w="0" w:type="dxa"/>
                    <w:left w:w="0" w:type="dxa"/>
                    <w:bottom w:w="0" w:type="dxa"/>
                    <w:right w:w="0" w:type="dxa"/>
                  </w:tcMar>
                  <w:vAlign w:val="center"/>
                </w:tcPr>
                <w:p w14:paraId="0E817B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相符</w:t>
                  </w:r>
                </w:p>
              </w:tc>
            </w:tr>
            <w:tr w14:paraId="398FA1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21EC8D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647E0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强化环境风险防控能力建设。按照统一信息平台、统一监管力度、统一应急等级、协同应急救援的思路，在沿江发展带、沿海发展带、环太湖等地区构建区域性环境风险预警应急响应机制，实施区域突发环境风险预警联防联控。</w:t>
                  </w:r>
                </w:p>
              </w:tc>
              <w:tc>
                <w:tcPr>
                  <w:tcW w:w="1525" w:type="pct"/>
                  <w:tcBorders>
                    <w:tl2br w:val="nil"/>
                    <w:tr2bl w:val="nil"/>
                  </w:tcBorders>
                  <w:noWrap w:val="0"/>
                  <w:tcMar>
                    <w:top w:w="0" w:type="dxa"/>
                    <w:left w:w="0" w:type="dxa"/>
                    <w:bottom w:w="0" w:type="dxa"/>
                    <w:right w:w="0" w:type="dxa"/>
                  </w:tcMar>
                  <w:vAlign w:val="center"/>
                </w:tcPr>
                <w:p w14:paraId="30F404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项目实施后，按要求</w:t>
                  </w:r>
                  <w:r>
                    <w:rPr>
                      <w:rFonts w:hint="default" w:ascii="Times New Roman" w:hAnsi="Times New Roman" w:eastAsia="宋体" w:cs="Times New Roman"/>
                      <w:color w:val="auto"/>
                      <w:sz w:val="21"/>
                      <w:szCs w:val="21"/>
                      <w:lang w:val="en-US" w:eastAsia="zh-CN"/>
                    </w:rPr>
                    <w:t>编制</w:t>
                  </w:r>
                  <w:r>
                    <w:rPr>
                      <w:rFonts w:hint="default" w:ascii="Times New Roman" w:hAnsi="Times New Roman" w:eastAsia="宋体" w:cs="Times New Roman"/>
                      <w:color w:val="auto"/>
                      <w:sz w:val="21"/>
                      <w:szCs w:val="21"/>
                    </w:rPr>
                    <w:t>突发环境事件应急预案并报相关部门备案。</w:t>
                  </w:r>
                </w:p>
              </w:tc>
              <w:tc>
                <w:tcPr>
                  <w:tcW w:w="417" w:type="pct"/>
                  <w:tcBorders>
                    <w:tl2br w:val="nil"/>
                    <w:tr2bl w:val="nil"/>
                  </w:tcBorders>
                  <w:noWrap w:val="0"/>
                  <w:tcMar>
                    <w:top w:w="0" w:type="dxa"/>
                    <w:left w:w="0" w:type="dxa"/>
                    <w:bottom w:w="0" w:type="dxa"/>
                    <w:right w:w="0" w:type="dxa"/>
                  </w:tcMar>
                  <w:vAlign w:val="center"/>
                </w:tcPr>
                <w:p w14:paraId="2BDCA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相符</w:t>
                  </w:r>
                </w:p>
              </w:tc>
            </w:tr>
            <w:tr w14:paraId="0CCF4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restart"/>
                  <w:tcBorders>
                    <w:tl2br w:val="nil"/>
                    <w:tr2bl w:val="nil"/>
                  </w:tcBorders>
                  <w:noWrap w:val="0"/>
                  <w:tcMar>
                    <w:top w:w="0" w:type="dxa"/>
                    <w:left w:w="0" w:type="dxa"/>
                    <w:bottom w:w="0" w:type="dxa"/>
                    <w:right w:w="0" w:type="dxa"/>
                  </w:tcMar>
                  <w:vAlign w:val="center"/>
                </w:tcPr>
                <w:p w14:paraId="19146B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2693" w:type="pct"/>
                  <w:tcBorders>
                    <w:tl2br w:val="nil"/>
                    <w:tr2bl w:val="nil"/>
                  </w:tcBorders>
                  <w:noWrap w:val="0"/>
                  <w:tcMar>
                    <w:top w:w="0" w:type="dxa"/>
                    <w:left w:w="0" w:type="dxa"/>
                    <w:bottom w:w="0" w:type="dxa"/>
                    <w:right w:w="0" w:type="dxa"/>
                  </w:tcMar>
                  <w:vAlign w:val="center"/>
                </w:tcPr>
                <w:p w14:paraId="6F0D62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1．水资源利用总量及效率要求：到2025年，全省用水总量控制在525.9亿立方米以内，万元地区生产总值用水量、万元工业增加值用水量下降完成国家下达目标，农田灌溉水有效利用系数提高到0.625。</w:t>
                  </w:r>
                </w:p>
              </w:tc>
              <w:tc>
                <w:tcPr>
                  <w:tcW w:w="1525" w:type="pct"/>
                  <w:tcBorders>
                    <w:tl2br w:val="nil"/>
                    <w:tr2bl w:val="nil"/>
                  </w:tcBorders>
                  <w:noWrap w:val="0"/>
                  <w:tcMar>
                    <w:top w:w="0" w:type="dxa"/>
                    <w:left w:w="0" w:type="dxa"/>
                    <w:bottom w:w="0" w:type="dxa"/>
                    <w:right w:w="0" w:type="dxa"/>
                  </w:tcMar>
                  <w:vAlign w:val="center"/>
                </w:tcPr>
                <w:p w14:paraId="73250851">
                  <w:pPr>
                    <w:pStyle w:val="38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本项目GDP水耗</w:t>
                  </w:r>
                  <w:r>
                    <w:rPr>
                      <w:rFonts w:hint="default" w:ascii="Times New Roman" w:hAnsi="Times New Roman" w:eastAsia="宋体"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eastAsia="宋体" w:cs="Times New Roman"/>
                      <w:color w:val="auto"/>
                      <w:sz w:val="21"/>
                      <w:szCs w:val="21"/>
                      <w:lang w:val="en-US" w:eastAsia="zh-CN"/>
                    </w:rPr>
                    <w:t>0.</w:t>
                  </w:r>
                  <w:r>
                    <w:rPr>
                      <w:rFonts w:hint="eastAsia" w:eastAsia="宋体" w:cs="Times New Roman"/>
                      <w:color w:val="auto"/>
                      <w:sz w:val="21"/>
                      <w:szCs w:val="21"/>
                      <w:lang w:val="en-US" w:eastAsia="zh-CN"/>
                    </w:rPr>
                    <w:t>25</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/万元，低于《</w:t>
                  </w:r>
                  <w:r>
                    <w:rPr>
                      <w:rFonts w:hint="default" w:ascii="Times New Roman" w:hAnsi="Times New Roman" w:eastAsia="宋体" w:cs="Times New Roman"/>
                      <w:color w:val="auto"/>
                      <w:sz w:val="21"/>
                      <w:szCs w:val="21"/>
                      <w:lang w:eastAsia="zh-CN"/>
                    </w:rPr>
                    <w:t>金坛区儒林现代产业园发展规划（2023-2035年）环境影响报告书</w:t>
                  </w:r>
                  <w:r>
                    <w:rPr>
                      <w:rFonts w:hint="default" w:ascii="Times New Roman" w:hAnsi="Times New Roman" w:eastAsia="宋体" w:cs="Times New Roman"/>
                      <w:color w:val="auto"/>
                      <w:sz w:val="21"/>
                      <w:szCs w:val="21"/>
                    </w:rPr>
                    <w:t>》中的设计值，满足</w:t>
                  </w:r>
                  <w:r>
                    <w:rPr>
                      <w:rFonts w:hint="default" w:ascii="Times New Roman" w:hAnsi="Times New Roman" w:eastAsia="宋体" w:cs="Times New Roman"/>
                      <w:color w:val="auto"/>
                      <w:sz w:val="21"/>
                      <w:szCs w:val="21"/>
                      <w:lang w:eastAsia="zh-CN"/>
                    </w:rPr>
                    <w:t>金坛区儒林现代产业园</w:t>
                  </w:r>
                  <w:r>
                    <w:rPr>
                      <w:rFonts w:hint="default" w:ascii="Times New Roman" w:hAnsi="Times New Roman" w:eastAsia="宋体" w:cs="Times New Roman"/>
                      <w:color w:val="auto"/>
                      <w:sz w:val="21"/>
                      <w:szCs w:val="21"/>
                    </w:rPr>
                    <w:t>的资源指标要求</w:t>
                  </w:r>
                </w:p>
              </w:tc>
              <w:tc>
                <w:tcPr>
                  <w:tcW w:w="417" w:type="pct"/>
                  <w:tcBorders>
                    <w:tl2br w:val="nil"/>
                    <w:tr2bl w:val="nil"/>
                  </w:tcBorders>
                  <w:noWrap w:val="0"/>
                  <w:tcMar>
                    <w:top w:w="0" w:type="dxa"/>
                    <w:left w:w="0" w:type="dxa"/>
                    <w:bottom w:w="0" w:type="dxa"/>
                    <w:right w:w="0" w:type="dxa"/>
                  </w:tcMar>
                  <w:vAlign w:val="center"/>
                </w:tcPr>
                <w:p w14:paraId="5A3859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5DC0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1F8D5C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43DB4A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2．土地资源总量要求：到2025年，江苏省耕地保有量不低于5977万亩，其中永久基本农田保护面积不低于5344万亩。</w:t>
                  </w:r>
                </w:p>
              </w:tc>
              <w:tc>
                <w:tcPr>
                  <w:tcW w:w="1525" w:type="pct"/>
                  <w:tcBorders>
                    <w:tl2br w:val="nil"/>
                    <w:tr2bl w:val="nil"/>
                  </w:tcBorders>
                  <w:noWrap w:val="0"/>
                  <w:tcMar>
                    <w:top w:w="0" w:type="dxa"/>
                    <w:left w:w="0" w:type="dxa"/>
                    <w:bottom w:w="0" w:type="dxa"/>
                    <w:right w:w="0" w:type="dxa"/>
                  </w:tcMar>
                  <w:vAlign w:val="center"/>
                </w:tcPr>
                <w:p w14:paraId="7B8B14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本项目不新增工业用地。</w:t>
                  </w:r>
                </w:p>
              </w:tc>
              <w:tc>
                <w:tcPr>
                  <w:tcW w:w="417" w:type="pct"/>
                  <w:tcBorders>
                    <w:tl2br w:val="nil"/>
                    <w:tr2bl w:val="nil"/>
                  </w:tcBorders>
                  <w:noWrap w:val="0"/>
                  <w:tcMar>
                    <w:top w:w="0" w:type="dxa"/>
                    <w:left w:w="0" w:type="dxa"/>
                    <w:bottom w:w="0" w:type="dxa"/>
                    <w:right w:w="0" w:type="dxa"/>
                  </w:tcMar>
                  <w:vAlign w:val="center"/>
                </w:tcPr>
                <w:p w14:paraId="7AEF40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2280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2" w:type="pct"/>
                  <w:vMerge w:val="continue"/>
                  <w:tcBorders>
                    <w:tl2br w:val="nil"/>
                    <w:tr2bl w:val="nil"/>
                  </w:tcBorders>
                  <w:noWrap w:val="0"/>
                  <w:tcMar>
                    <w:top w:w="0" w:type="dxa"/>
                    <w:left w:w="0" w:type="dxa"/>
                    <w:bottom w:w="0" w:type="dxa"/>
                    <w:right w:w="0" w:type="dxa"/>
                  </w:tcMar>
                  <w:vAlign w:val="center"/>
                </w:tcPr>
                <w:p w14:paraId="5F42ED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2693" w:type="pct"/>
                  <w:tcBorders>
                    <w:tl2br w:val="nil"/>
                    <w:tr2bl w:val="nil"/>
                  </w:tcBorders>
                  <w:noWrap w:val="0"/>
                  <w:tcMar>
                    <w:top w:w="0" w:type="dxa"/>
                    <w:left w:w="0" w:type="dxa"/>
                    <w:bottom w:w="0" w:type="dxa"/>
                    <w:right w:w="0" w:type="dxa"/>
                  </w:tcMar>
                  <w:vAlign w:val="center"/>
                </w:tcPr>
                <w:p w14:paraId="0E3546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3．禁燃区要求：在禁燃区内，禁止销售、燃用高污染燃料；禁止新建、扩建燃用高污染燃料的设施，已建成的，应当在城市人民政府规定的期限内改用天然气、页岩气、液化石油气、电或者其他清洁能源。</w:t>
                  </w:r>
                </w:p>
              </w:tc>
              <w:tc>
                <w:tcPr>
                  <w:tcW w:w="1525" w:type="pct"/>
                  <w:tcBorders>
                    <w:tl2br w:val="nil"/>
                    <w:tr2bl w:val="nil"/>
                  </w:tcBorders>
                  <w:noWrap w:val="0"/>
                  <w:tcMar>
                    <w:top w:w="0" w:type="dxa"/>
                    <w:left w:w="0" w:type="dxa"/>
                    <w:bottom w:w="0" w:type="dxa"/>
                    <w:right w:w="0" w:type="dxa"/>
                  </w:tcMar>
                  <w:vAlign w:val="center"/>
                </w:tcPr>
                <w:p w14:paraId="776A4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本项目使用</w:t>
                  </w:r>
                  <w:r>
                    <w:rPr>
                      <w:rFonts w:hint="default" w:ascii="Times New Roman" w:hAnsi="Times New Roman" w:eastAsia="宋体" w:cs="Times New Roman"/>
                      <w:color w:val="auto"/>
                      <w:sz w:val="21"/>
                      <w:szCs w:val="21"/>
                      <w:lang w:val="en-US" w:eastAsia="zh-CN"/>
                    </w:rPr>
                    <w:t>电等清洁能源</w:t>
                  </w:r>
                  <w:r>
                    <w:rPr>
                      <w:rFonts w:hint="default" w:ascii="Times New Roman" w:hAnsi="Times New Roman" w:eastAsia="宋体" w:cs="Times New Roman"/>
                      <w:color w:val="auto"/>
                      <w:sz w:val="21"/>
                      <w:szCs w:val="21"/>
                    </w:rPr>
                    <w:t>。</w:t>
                  </w:r>
                </w:p>
              </w:tc>
              <w:tc>
                <w:tcPr>
                  <w:tcW w:w="417" w:type="pct"/>
                  <w:tcBorders>
                    <w:tl2br w:val="nil"/>
                    <w:tr2bl w:val="nil"/>
                  </w:tcBorders>
                  <w:noWrap w:val="0"/>
                  <w:tcMar>
                    <w:top w:w="0" w:type="dxa"/>
                    <w:left w:w="0" w:type="dxa"/>
                    <w:bottom w:w="0" w:type="dxa"/>
                    <w:right w:w="0" w:type="dxa"/>
                  </w:tcMar>
                  <w:vAlign w:val="center"/>
                </w:tcPr>
                <w:p w14:paraId="466E4D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bl>
          <w:p w14:paraId="155BE2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项目与《江苏省政府关于印发江苏省“三线一单”生态环境分区管控方案的通知》相符性分析</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108" w:type="dxa"/>
                <w:bottom w:w="28" w:type="dxa"/>
                <w:right w:w="108" w:type="dxa"/>
              </w:tblCellMar>
            </w:tblPr>
            <w:tblGrid>
              <w:gridCol w:w="674"/>
              <w:gridCol w:w="5818"/>
              <w:gridCol w:w="1980"/>
              <w:gridCol w:w="787"/>
            </w:tblGrid>
            <w:tr w14:paraId="5401A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021541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管控类别</w:t>
                  </w:r>
                </w:p>
              </w:tc>
              <w:tc>
                <w:tcPr>
                  <w:tcW w:w="3142" w:type="pct"/>
                  <w:tcBorders>
                    <w:tl2br w:val="nil"/>
                    <w:tr2bl w:val="nil"/>
                  </w:tcBorders>
                  <w:noWrap w:val="0"/>
                  <w:vAlign w:val="center"/>
                </w:tcPr>
                <w:p w14:paraId="42F0C21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重点管控要求</w:t>
                  </w:r>
                </w:p>
              </w:tc>
              <w:tc>
                <w:tcPr>
                  <w:tcW w:w="1069" w:type="pct"/>
                  <w:tcBorders>
                    <w:tl2br w:val="nil"/>
                    <w:tr2bl w:val="nil"/>
                  </w:tcBorders>
                  <w:noWrap w:val="0"/>
                  <w:vAlign w:val="center"/>
                </w:tcPr>
                <w:p w14:paraId="7F89B4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本项目</w:t>
                  </w:r>
                </w:p>
              </w:tc>
              <w:tc>
                <w:tcPr>
                  <w:tcW w:w="423" w:type="pct"/>
                  <w:tcBorders>
                    <w:tl2br w:val="nil"/>
                    <w:tr2bl w:val="nil"/>
                  </w:tcBorders>
                  <w:noWrap w:val="0"/>
                  <w:vAlign w:val="center"/>
                </w:tcPr>
                <w:p w14:paraId="5250D6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相符性</w:t>
                  </w:r>
                </w:p>
              </w:tc>
            </w:tr>
            <w:tr w14:paraId="344DE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5000" w:type="pct"/>
                  <w:gridSpan w:val="4"/>
                  <w:tcBorders>
                    <w:tl2br w:val="nil"/>
                    <w:tr2bl w:val="nil"/>
                  </w:tcBorders>
                  <w:noWrap w:val="0"/>
                  <w:vAlign w:val="center"/>
                </w:tcPr>
                <w:p w14:paraId="25CEE0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长江流域</w:t>
                  </w:r>
                </w:p>
              </w:tc>
            </w:tr>
            <w:tr w14:paraId="1F937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3AFC3F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3142" w:type="pct"/>
                  <w:tcBorders>
                    <w:tl2br w:val="nil"/>
                    <w:tr2bl w:val="nil"/>
                  </w:tcBorders>
                  <w:noWrap w:val="0"/>
                  <w:vAlign w:val="center"/>
                </w:tcPr>
                <w:p w14:paraId="09C88311">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1、始终把长江生态修复放在首位，坚持共抓大保护、不搞大开发，引导长江流域产业转型升级和布局优化调整，实现科学发展、有序发展、高质量发展。</w:t>
                  </w:r>
                </w:p>
                <w:p w14:paraId="6954DB6C">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加强生态空间保护，禁止在国家确定的生态保护红线和永久基本农田范围内，投资建设除国家重大战略资源勘查项目、生态保护修复和地质灾害治理项目、重大基础设施项目、军事国防项目以及农民基本生产生活等必要的民生项目以外的项目。</w:t>
                  </w:r>
                </w:p>
                <w:p w14:paraId="73671444">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3、禁止在沿江地区新建或扩建化学工业园区，禁止新建或扩建以大宗进口油气资源为原料的石油加工、石油化工、基础有机无机化工、煤化工项目；禁止在长江干流和主要支流岸线1公里范围内新建危化品码头。</w:t>
                  </w:r>
                </w:p>
                <w:p w14:paraId="4CF76D13">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4、强化港口布局优化，禁止建设不符合国家港口布局规划和《江苏省沿江沿海港口布局规划（2015-2030年）》《江苏省内河港口布局规划（2017-2035年）》的码头项</w:t>
                  </w:r>
                  <w:r>
                    <w:rPr>
                      <w:rFonts w:hint="default" w:ascii="Times New Roman" w:hAnsi="Times New Roman" w:eastAsia="宋体" w:cs="Times New Roman"/>
                      <w:color w:val="auto"/>
                      <w:sz w:val="21"/>
                      <w:szCs w:val="21"/>
                      <w:lang w:eastAsia="zh-CN"/>
                    </w:rPr>
                    <w:t>目</w:t>
                  </w:r>
                  <w:r>
                    <w:rPr>
                      <w:rFonts w:hint="default" w:ascii="Times New Roman" w:hAnsi="Times New Roman" w:eastAsia="宋体" w:cs="Times New Roman"/>
                      <w:color w:val="auto"/>
                      <w:sz w:val="21"/>
                      <w:szCs w:val="21"/>
                      <w:lang w:val="en-US" w:eastAsia="zh-CN"/>
                    </w:rPr>
                    <w:t>，禁止建设未纳入《长江干线过江通道布局规划》的过江干线通道项目</w:t>
                  </w:r>
                  <w:r>
                    <w:rPr>
                      <w:rFonts w:hint="default" w:ascii="Times New Roman" w:hAnsi="Times New Roman" w:eastAsia="宋体" w:cs="Times New Roman"/>
                      <w:color w:val="auto"/>
                      <w:sz w:val="21"/>
                      <w:szCs w:val="21"/>
                    </w:rPr>
                    <w:t>。</w:t>
                  </w:r>
                </w:p>
                <w:p w14:paraId="6F60F412">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5、禁止新建独立焦化项目。</w:t>
                  </w:r>
                </w:p>
              </w:tc>
              <w:tc>
                <w:tcPr>
                  <w:tcW w:w="1069" w:type="pct"/>
                  <w:tcBorders>
                    <w:tl2br w:val="nil"/>
                    <w:tr2bl w:val="nil"/>
                  </w:tcBorders>
                  <w:noWrap w:val="0"/>
                  <w:vAlign w:val="center"/>
                </w:tcPr>
                <w:p w14:paraId="32C78624">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w:t>
                  </w:r>
                  <w:r>
                    <w:rPr>
                      <w:rFonts w:hint="default" w:ascii="Times New Roman" w:hAnsi="Times New Roman" w:eastAsia="宋体" w:cs="Times New Roman"/>
                      <w:b w:val="0"/>
                      <w:bCs w:val="0"/>
                      <w:color w:val="auto"/>
                      <w:sz w:val="21"/>
                      <w:szCs w:val="21"/>
                      <w:lang w:eastAsia="zh-CN"/>
                    </w:rPr>
                    <w:t>属于长江流域内，选址</w:t>
                  </w:r>
                  <w:r>
                    <w:rPr>
                      <w:rFonts w:hint="default" w:ascii="Times New Roman" w:hAnsi="Times New Roman" w:eastAsia="宋体" w:cs="Times New Roman"/>
                      <w:color w:val="auto"/>
                      <w:sz w:val="21"/>
                      <w:szCs w:val="21"/>
                    </w:rPr>
                    <w:t>不在国家确定的生态保护红线和永久基本农田范围内</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本项目属于</w:t>
                  </w:r>
                  <w:r>
                    <w:rPr>
                      <w:rFonts w:hint="default" w:ascii="Times New Roman" w:hAnsi="Times New Roman" w:eastAsia="宋体" w:cs="Times New Roman"/>
                      <w:color w:val="auto"/>
                      <w:sz w:val="21"/>
                      <w:szCs w:val="21"/>
                      <w:lang w:eastAsia="zh-CN"/>
                    </w:rPr>
                    <w:t>C2929塑料零件及其他塑料制品制造</w:t>
                  </w:r>
                  <w:r>
                    <w:rPr>
                      <w:rFonts w:hint="default" w:ascii="Times New Roman" w:hAnsi="Times New Roman" w:eastAsia="宋体" w:cs="Times New Roman"/>
                      <w:color w:val="auto"/>
                      <w:sz w:val="21"/>
                      <w:szCs w:val="21"/>
                    </w:rPr>
                    <w:t>，不属于上述禁止建设的项目。</w:t>
                  </w:r>
                </w:p>
              </w:tc>
              <w:tc>
                <w:tcPr>
                  <w:tcW w:w="423" w:type="pct"/>
                  <w:tcBorders>
                    <w:tl2br w:val="nil"/>
                    <w:tr2bl w:val="nil"/>
                  </w:tcBorders>
                  <w:noWrap w:val="0"/>
                  <w:vAlign w:val="center"/>
                </w:tcPr>
                <w:p w14:paraId="4A968C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E981C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410E88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3142" w:type="pct"/>
                  <w:tcBorders>
                    <w:tl2br w:val="nil"/>
                    <w:tr2bl w:val="nil"/>
                  </w:tcBorders>
                  <w:noWrap w:val="0"/>
                  <w:vAlign w:val="center"/>
                </w:tcPr>
                <w:p w14:paraId="19D87213">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1、根据《江苏省长江水污染防治条例》实施污染物总量控制制度。</w:t>
                  </w:r>
                </w:p>
                <w:p w14:paraId="6E769590">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2、全面加强和规范长江入河排污口管理，有效管控入河污染物排放，形成权责清晰、监控到位、管理规范的长江入河排污口监管体系，加快改善长江水环境质量。</w:t>
                  </w:r>
                </w:p>
              </w:tc>
              <w:tc>
                <w:tcPr>
                  <w:tcW w:w="1069" w:type="pct"/>
                  <w:tcBorders>
                    <w:tl2br w:val="nil"/>
                    <w:tr2bl w:val="nil"/>
                  </w:tcBorders>
                  <w:noWrap w:val="0"/>
                  <w:vAlign w:val="center"/>
                </w:tcPr>
                <w:p w14:paraId="69BBE4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本项目</w:t>
                  </w:r>
                  <w:r>
                    <w:rPr>
                      <w:rFonts w:hint="default" w:ascii="Times New Roman" w:hAnsi="Times New Roman" w:eastAsia="宋体" w:cs="Times New Roman"/>
                      <w:b w:val="0"/>
                      <w:bCs w:val="0"/>
                      <w:color w:val="auto"/>
                      <w:sz w:val="21"/>
                      <w:szCs w:val="21"/>
                      <w:lang w:val="en-US" w:eastAsia="zh-CN"/>
                    </w:rPr>
                    <w:t>实施总量控制，不涉及长江入河排污口。</w:t>
                  </w:r>
                </w:p>
              </w:tc>
              <w:tc>
                <w:tcPr>
                  <w:tcW w:w="423" w:type="pct"/>
                  <w:tcBorders>
                    <w:tl2br w:val="nil"/>
                    <w:tr2bl w:val="nil"/>
                  </w:tcBorders>
                  <w:noWrap w:val="0"/>
                  <w:vAlign w:val="center"/>
                </w:tcPr>
                <w:p w14:paraId="74F53C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rPr>
                    <w:t>相符</w:t>
                  </w:r>
                </w:p>
              </w:tc>
            </w:tr>
            <w:tr w14:paraId="3A6AA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3C6044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3142" w:type="pct"/>
                  <w:tcBorders>
                    <w:tl2br w:val="nil"/>
                    <w:tr2bl w:val="nil"/>
                  </w:tcBorders>
                  <w:noWrap w:val="0"/>
                  <w:vAlign w:val="center"/>
                </w:tcPr>
                <w:p w14:paraId="431ED07E">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1、防范沿江环境风险。深化沿江石化、化工、医药、纺织、印染、化纤、危化品和石油类仓储、涉重金属和危险废物处置等重点企业环境风险防控。</w:t>
                  </w:r>
                </w:p>
                <w:p w14:paraId="7647EF6E">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2、加强饮用水水源保护。优化水源保护区划定，推动饮用水水源地规范化建设。</w:t>
                  </w:r>
                </w:p>
              </w:tc>
              <w:tc>
                <w:tcPr>
                  <w:tcW w:w="1069" w:type="pct"/>
                  <w:tcBorders>
                    <w:tl2br w:val="nil"/>
                    <w:tr2bl w:val="nil"/>
                  </w:tcBorders>
                  <w:noWrap w:val="0"/>
                  <w:vAlign w:val="center"/>
                </w:tcPr>
                <w:p w14:paraId="459B9C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本项目建设单位不属于环境风险防控重点企业。</w:t>
                  </w:r>
                </w:p>
              </w:tc>
              <w:tc>
                <w:tcPr>
                  <w:tcW w:w="423" w:type="pct"/>
                  <w:tcBorders>
                    <w:tl2br w:val="nil"/>
                    <w:tr2bl w:val="nil"/>
                  </w:tcBorders>
                  <w:noWrap w:val="0"/>
                  <w:vAlign w:val="center"/>
                </w:tcPr>
                <w:p w14:paraId="305661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rPr>
                    <w:t>相符</w:t>
                  </w:r>
                </w:p>
              </w:tc>
            </w:tr>
            <w:tr w14:paraId="31AB3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5191876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3142" w:type="pct"/>
                  <w:tcBorders>
                    <w:tl2br w:val="nil"/>
                    <w:tr2bl w:val="nil"/>
                  </w:tcBorders>
                  <w:noWrap w:val="0"/>
                  <w:vAlign w:val="center"/>
                </w:tcPr>
                <w:p w14:paraId="00D694AA">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禁止在长江干支流岸线管控范围内新建、扩建化工园区和化工项目。禁止在长江干流岸线和重要支流岸线管控范围内新建、改建、扩建尾矿库，但是以提升安全、生态环境保护水平为目的的改建除外。</w:t>
                  </w:r>
                </w:p>
              </w:tc>
              <w:tc>
                <w:tcPr>
                  <w:tcW w:w="1069" w:type="pct"/>
                  <w:tcBorders>
                    <w:tl2br w:val="nil"/>
                    <w:tr2bl w:val="nil"/>
                  </w:tcBorders>
                  <w:noWrap w:val="0"/>
                  <w:vAlign w:val="center"/>
                </w:tcPr>
                <w:p w14:paraId="0EB931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本项目</w:t>
                  </w:r>
                  <w:r>
                    <w:rPr>
                      <w:rFonts w:hint="default" w:ascii="Times New Roman" w:hAnsi="Times New Roman" w:eastAsia="宋体" w:cs="Times New Roman"/>
                      <w:b w:val="0"/>
                      <w:bCs w:val="0"/>
                      <w:color w:val="auto"/>
                      <w:sz w:val="21"/>
                      <w:szCs w:val="21"/>
                      <w:lang w:val="en-US" w:eastAsia="zh-CN"/>
                    </w:rPr>
                    <w:t>不属于</w:t>
                  </w:r>
                  <w:r>
                    <w:rPr>
                      <w:rFonts w:hint="default" w:ascii="Times New Roman" w:hAnsi="Times New Roman" w:eastAsia="宋体" w:cs="Times New Roman"/>
                      <w:color w:val="auto"/>
                      <w:sz w:val="21"/>
                      <w:szCs w:val="21"/>
                    </w:rPr>
                    <w:t>化工项目</w:t>
                  </w:r>
                  <w:r>
                    <w:rPr>
                      <w:rFonts w:hint="default" w:ascii="Times New Roman" w:hAnsi="Times New Roman" w:eastAsia="宋体" w:cs="Times New Roman"/>
                      <w:color w:val="auto"/>
                      <w:sz w:val="21"/>
                      <w:szCs w:val="21"/>
                      <w:lang w:val="en-US" w:eastAsia="zh-CN"/>
                    </w:rPr>
                    <w:t>和</w:t>
                  </w:r>
                  <w:r>
                    <w:rPr>
                      <w:rFonts w:hint="default" w:ascii="Times New Roman" w:hAnsi="Times New Roman" w:eastAsia="宋体" w:cs="Times New Roman"/>
                      <w:color w:val="auto"/>
                      <w:sz w:val="21"/>
                      <w:szCs w:val="21"/>
                    </w:rPr>
                    <w:t>尾矿库</w:t>
                  </w:r>
                  <w:r>
                    <w:rPr>
                      <w:rFonts w:hint="default" w:ascii="Times New Roman" w:hAnsi="Times New Roman" w:eastAsia="宋体" w:cs="Times New Roman"/>
                      <w:color w:val="auto"/>
                      <w:sz w:val="21"/>
                      <w:szCs w:val="21"/>
                      <w:lang w:val="en-US" w:eastAsia="zh-CN"/>
                    </w:rPr>
                    <w:t>项目</w:t>
                  </w:r>
                  <w:r>
                    <w:rPr>
                      <w:rFonts w:hint="default" w:ascii="Times New Roman" w:hAnsi="Times New Roman" w:eastAsia="宋体" w:cs="Times New Roman"/>
                      <w:b w:val="0"/>
                      <w:bCs w:val="0"/>
                      <w:color w:val="auto"/>
                      <w:sz w:val="21"/>
                      <w:szCs w:val="21"/>
                      <w:lang w:eastAsia="zh-CN"/>
                    </w:rPr>
                    <w:t>。</w:t>
                  </w:r>
                </w:p>
              </w:tc>
              <w:tc>
                <w:tcPr>
                  <w:tcW w:w="423" w:type="pct"/>
                  <w:tcBorders>
                    <w:tl2br w:val="nil"/>
                    <w:tr2bl w:val="nil"/>
                  </w:tcBorders>
                  <w:noWrap w:val="0"/>
                  <w:vAlign w:val="center"/>
                </w:tcPr>
                <w:p w14:paraId="5577D8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rPr>
                    <w:t>相符</w:t>
                  </w:r>
                </w:p>
              </w:tc>
            </w:tr>
            <w:tr w14:paraId="15AA3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5000" w:type="pct"/>
                  <w:gridSpan w:val="4"/>
                  <w:tcBorders>
                    <w:tl2br w:val="nil"/>
                    <w:tr2bl w:val="nil"/>
                  </w:tcBorders>
                  <w:noWrap w:val="0"/>
                  <w:vAlign w:val="center"/>
                </w:tcPr>
                <w:p w14:paraId="031E0A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太湖流域</w:t>
                  </w:r>
                </w:p>
              </w:tc>
            </w:tr>
            <w:tr w14:paraId="5FB1E2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21E987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3142" w:type="pct"/>
                  <w:tcBorders>
                    <w:tl2br w:val="nil"/>
                    <w:tr2bl w:val="nil"/>
                  </w:tcBorders>
                  <w:noWrap w:val="0"/>
                  <w:vAlign w:val="center"/>
                </w:tcPr>
                <w:p w14:paraId="1A88371D">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在太湖流域一、二、三级保护区，禁止新建、改建、扩建化学制浆造纸、制革、酿造、染料、印染、电镀以及其他排放含磷、氮等污染物的企业和项目，城镇污水集中处理等环境基础设施项目和《江苏省太湖水污染防治条例》第四十六条规定的情形除外。</w:t>
                  </w:r>
                </w:p>
                <w:p w14:paraId="46D51171">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在</w:t>
                  </w:r>
                  <w:r>
                    <w:rPr>
                      <w:rFonts w:hint="default" w:ascii="Times New Roman" w:hAnsi="Times New Roman" w:eastAsia="宋体" w:cs="Times New Roman"/>
                      <w:color w:val="auto"/>
                      <w:sz w:val="21"/>
                      <w:szCs w:val="21"/>
                      <w:lang w:eastAsia="zh-CN"/>
                    </w:rPr>
                    <w:t>太湖流域</w:t>
                  </w:r>
                  <w:r>
                    <w:rPr>
                      <w:rFonts w:hint="default" w:ascii="Times New Roman" w:hAnsi="Times New Roman" w:eastAsia="宋体" w:cs="Times New Roman"/>
                      <w:color w:val="auto"/>
                      <w:sz w:val="21"/>
                      <w:szCs w:val="21"/>
                    </w:rPr>
                    <w:t>一级保护区，禁止新建、扩建向水体排放污染物的建设项目，禁止新建、扩建畜禽养殖场，禁止新建、扩建高尔夫球场、水上游乐等开发项目以及设置水上餐饮经营设施。</w:t>
                  </w:r>
                </w:p>
                <w:p w14:paraId="5DA501D2">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在太湖流域二级保护区，禁止新建、扩建化工、医药生产项目，禁止新建、扩建污水集中处理设施排污口以外的排污口。</w:t>
                  </w:r>
                </w:p>
              </w:tc>
              <w:tc>
                <w:tcPr>
                  <w:tcW w:w="1069" w:type="pct"/>
                  <w:tcBorders>
                    <w:tl2br w:val="nil"/>
                    <w:tr2bl w:val="nil"/>
                  </w:tcBorders>
                  <w:noWrap w:val="0"/>
                  <w:vAlign w:val="center"/>
                </w:tcPr>
                <w:p w14:paraId="12845F2D">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，属于太湖流域三级保护区；本项目</w:t>
                  </w:r>
                  <w:r>
                    <w:rPr>
                      <w:rFonts w:hint="default" w:ascii="Times New Roman" w:hAnsi="Times New Roman" w:eastAsia="宋体" w:cs="Times New Roman"/>
                      <w:b w:val="0"/>
                      <w:bCs w:val="0"/>
                      <w:color w:val="auto"/>
                      <w:sz w:val="21"/>
                      <w:szCs w:val="21"/>
                      <w:lang w:val="en-US" w:eastAsia="zh-CN"/>
                    </w:rPr>
                    <w:t>不属于禁止新建的行业</w:t>
                  </w:r>
                  <w:r>
                    <w:rPr>
                      <w:rFonts w:hint="default" w:ascii="Times New Roman" w:hAnsi="Times New Roman" w:eastAsia="宋体" w:cs="Times New Roman"/>
                      <w:color w:val="auto"/>
                      <w:sz w:val="21"/>
                      <w:szCs w:val="21"/>
                    </w:rPr>
                    <w:t>，</w:t>
                  </w:r>
                  <w:r>
                    <w:rPr>
                      <w:rFonts w:hint="default" w:ascii="Times New Roman" w:hAnsi="Times New Roman" w:eastAsia="宋体" w:cs="Times New Roman"/>
                      <w:b w:val="0"/>
                      <w:bCs w:val="0"/>
                      <w:color w:val="auto"/>
                      <w:sz w:val="21"/>
                      <w:szCs w:val="21"/>
                      <w:lang w:val="en-US" w:eastAsia="zh-CN"/>
                    </w:rPr>
                    <w:t>无含磷、氮生产废水排放</w:t>
                  </w:r>
                  <w:r>
                    <w:rPr>
                      <w:rFonts w:hint="default" w:ascii="Times New Roman" w:hAnsi="Times New Roman" w:eastAsia="宋体" w:cs="Times New Roman"/>
                      <w:color w:val="auto"/>
                      <w:sz w:val="21"/>
                      <w:szCs w:val="21"/>
                    </w:rPr>
                    <w:t>。</w:t>
                  </w:r>
                </w:p>
              </w:tc>
              <w:tc>
                <w:tcPr>
                  <w:tcW w:w="423" w:type="pct"/>
                  <w:tcBorders>
                    <w:tl2br w:val="nil"/>
                    <w:tr2bl w:val="nil"/>
                  </w:tcBorders>
                  <w:noWrap w:val="0"/>
                  <w:vAlign w:val="center"/>
                </w:tcPr>
                <w:p w14:paraId="7CC942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58AE6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069B4F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3142" w:type="pct"/>
                  <w:tcBorders>
                    <w:tl2br w:val="nil"/>
                    <w:tr2bl w:val="nil"/>
                  </w:tcBorders>
                  <w:noWrap w:val="0"/>
                  <w:vAlign w:val="center"/>
                </w:tcPr>
                <w:p w14:paraId="102681C1">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城镇污水处理厂、纺织工业、化学工业、造纸工业、钢铁工业、电镀工业和食品工业的污水处理设施执行《太湖地区城镇污水处理厂及重点工业行业主要水污染物排放限值》。</w:t>
                  </w:r>
                </w:p>
              </w:tc>
              <w:tc>
                <w:tcPr>
                  <w:tcW w:w="1069" w:type="pct"/>
                  <w:tcBorders>
                    <w:tl2br w:val="nil"/>
                    <w:tr2bl w:val="nil"/>
                  </w:tcBorders>
                  <w:noWrap w:val="0"/>
                  <w:vAlign w:val="center"/>
                </w:tcPr>
                <w:p w14:paraId="403E71DE">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本项目不属于上述行业。</w:t>
                  </w:r>
                </w:p>
              </w:tc>
              <w:tc>
                <w:tcPr>
                  <w:tcW w:w="423" w:type="pct"/>
                  <w:tcBorders>
                    <w:tl2br w:val="nil"/>
                    <w:tr2bl w:val="nil"/>
                  </w:tcBorders>
                  <w:noWrap w:val="0"/>
                  <w:vAlign w:val="center"/>
                </w:tcPr>
                <w:p w14:paraId="591F6E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AF4C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20D50A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3142" w:type="pct"/>
                  <w:tcBorders>
                    <w:tl2br w:val="nil"/>
                    <w:tr2bl w:val="nil"/>
                  </w:tcBorders>
                  <w:noWrap w:val="0"/>
                  <w:vAlign w:val="center"/>
                </w:tcPr>
                <w:p w14:paraId="4357AC93">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1、运输剧毒物质、危险化学品的船舶不得进入太湖。</w:t>
                  </w:r>
                </w:p>
                <w:p w14:paraId="534C54F9">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2、禁止向太湖流域水体排放或者倾倒油类、酸液、碱液、剧毒废渣废液、含放射性废渣废液、含病原体污水、工业废渣以及其他废弃物。</w:t>
                  </w:r>
                </w:p>
                <w:p w14:paraId="1C37786F">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3、加强太湖流域生态环境风险应急管控，着力提高防控太湖蓝藻水华风险预警和应急处置能力。</w:t>
                  </w:r>
                </w:p>
              </w:tc>
              <w:tc>
                <w:tcPr>
                  <w:tcW w:w="1069" w:type="pct"/>
                  <w:tcBorders>
                    <w:tl2br w:val="nil"/>
                    <w:tr2bl w:val="nil"/>
                  </w:tcBorders>
                  <w:noWrap w:val="0"/>
                  <w:vAlign w:val="center"/>
                </w:tcPr>
                <w:p w14:paraId="71CA6CD9">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lang w:eastAsia="zh-CN"/>
                    </w:rPr>
                    <w:t>本项目</w:t>
                  </w:r>
                  <w:r>
                    <w:rPr>
                      <w:rFonts w:hint="default" w:ascii="Times New Roman" w:hAnsi="Times New Roman" w:eastAsia="宋体" w:cs="Times New Roman"/>
                      <w:b w:val="0"/>
                      <w:bCs w:val="0"/>
                      <w:color w:val="auto"/>
                      <w:sz w:val="21"/>
                      <w:szCs w:val="21"/>
                      <w:lang w:val="en-US" w:eastAsia="zh-CN"/>
                    </w:rPr>
                    <w:t>不涉及文件中相关行为</w:t>
                  </w:r>
                  <w:r>
                    <w:rPr>
                      <w:rFonts w:hint="default" w:ascii="Times New Roman" w:hAnsi="Times New Roman" w:eastAsia="宋体" w:cs="Times New Roman"/>
                      <w:color w:val="auto"/>
                      <w:sz w:val="21"/>
                      <w:szCs w:val="21"/>
                    </w:rPr>
                    <w:t>。</w:t>
                  </w:r>
                </w:p>
              </w:tc>
              <w:tc>
                <w:tcPr>
                  <w:tcW w:w="423" w:type="pct"/>
                  <w:tcBorders>
                    <w:tl2br w:val="nil"/>
                    <w:tr2bl w:val="nil"/>
                  </w:tcBorders>
                  <w:noWrap w:val="0"/>
                  <w:vAlign w:val="center"/>
                </w:tcPr>
                <w:p w14:paraId="34E590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color w:val="auto"/>
                      <w:sz w:val="21"/>
                      <w:szCs w:val="21"/>
                    </w:rPr>
                    <w:t>相符</w:t>
                  </w:r>
                </w:p>
              </w:tc>
            </w:tr>
            <w:tr w14:paraId="7087C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364" w:type="pct"/>
                  <w:tcBorders>
                    <w:tl2br w:val="nil"/>
                    <w:tr2bl w:val="nil"/>
                  </w:tcBorders>
                  <w:noWrap w:val="0"/>
                  <w:vAlign w:val="center"/>
                </w:tcPr>
                <w:p w14:paraId="3B57B62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资源利用效率要求</w:t>
                  </w:r>
                </w:p>
              </w:tc>
              <w:tc>
                <w:tcPr>
                  <w:tcW w:w="3142" w:type="pct"/>
                  <w:tcBorders>
                    <w:tl2br w:val="nil"/>
                    <w:tr2bl w:val="nil"/>
                  </w:tcBorders>
                  <w:noWrap w:val="0"/>
                  <w:vAlign w:val="center"/>
                </w:tcPr>
                <w:p w14:paraId="4B520309">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1.严格用水定额管理制度，推进取用水规范化管理，科学制定用水定额并动态调整，对超过用水定额标准的企业分类分步先期实施节水改造，鼓励重点用水企业、园区建立智慧用水管理系统。</w:t>
                  </w:r>
                </w:p>
                <w:p w14:paraId="434F2CBC">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 推进新孟河、新沟河、望虞河、走马塘等河道联合调度，科学调控太湖水位。</w:t>
                  </w:r>
                </w:p>
              </w:tc>
              <w:tc>
                <w:tcPr>
                  <w:tcW w:w="1069" w:type="pct"/>
                  <w:tcBorders>
                    <w:tl2br w:val="nil"/>
                    <w:tr2bl w:val="nil"/>
                  </w:tcBorders>
                  <w:noWrap w:val="0"/>
                  <w:vAlign w:val="center"/>
                </w:tcPr>
                <w:p w14:paraId="70594B1D">
                  <w:pPr>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当地自来水厂能够满足本项目用水需求</w:t>
                  </w:r>
                  <w:r>
                    <w:rPr>
                      <w:rFonts w:hint="default" w:ascii="Times New Roman" w:hAnsi="Times New Roman" w:eastAsia="宋体" w:cs="Times New Roman"/>
                      <w:color w:val="auto"/>
                      <w:sz w:val="21"/>
                      <w:szCs w:val="21"/>
                    </w:rPr>
                    <w:t>。</w:t>
                  </w:r>
                </w:p>
              </w:tc>
              <w:tc>
                <w:tcPr>
                  <w:tcW w:w="423" w:type="pct"/>
                  <w:tcBorders>
                    <w:tl2br w:val="nil"/>
                    <w:tr2bl w:val="nil"/>
                  </w:tcBorders>
                  <w:noWrap w:val="0"/>
                  <w:vAlign w:val="center"/>
                </w:tcPr>
                <w:p w14:paraId="5CF3A7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rPr>
                    <w:t>相符</w:t>
                  </w:r>
                </w:p>
              </w:tc>
            </w:tr>
          </w:tbl>
          <w:p w14:paraId="13B3BF39">
            <w:pPr>
              <w:keepNext w:val="0"/>
              <w:keepLines w:val="0"/>
              <w:pageBreakBefore w:val="0"/>
              <w:widowControl w:val="0"/>
              <w:kinsoku/>
              <w:wordWrap/>
              <w:overflowPunct/>
              <w:topLinePunct w:val="0"/>
              <w:autoSpaceDE w:val="0"/>
              <w:autoSpaceDN w:val="0"/>
              <w:bidi w:val="0"/>
              <w:snapToGrid w:val="0"/>
              <w:spacing w:line="480" w:lineRule="exact"/>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6、</w:t>
            </w:r>
            <w:r>
              <w:rPr>
                <w:rFonts w:hint="default" w:ascii="Times New Roman" w:hAnsi="Times New Roman" w:eastAsia="宋体" w:cs="Times New Roman"/>
                <w:b/>
                <w:color w:val="auto"/>
                <w:sz w:val="24"/>
                <w:szCs w:val="24"/>
              </w:rPr>
              <w:t>与</w:t>
            </w:r>
            <w:r>
              <w:rPr>
                <w:rFonts w:hint="default" w:ascii="Times New Roman" w:hAnsi="Times New Roman" w:eastAsia="宋体" w:cs="Times New Roman"/>
                <w:b/>
                <w:color w:val="auto"/>
                <w:sz w:val="24"/>
                <w:szCs w:val="24"/>
                <w:lang w:eastAsia="zh-CN"/>
              </w:rPr>
              <w:t>《常州市生态环境分区管控动态更新成果》（2023年版）</w:t>
            </w:r>
            <w:r>
              <w:rPr>
                <w:rFonts w:hint="default" w:ascii="Times New Roman" w:hAnsi="Times New Roman" w:eastAsia="宋体" w:cs="Times New Roman"/>
                <w:b/>
                <w:color w:val="auto"/>
                <w:sz w:val="24"/>
                <w:szCs w:val="24"/>
              </w:rPr>
              <w:t>相符性分析</w:t>
            </w:r>
          </w:p>
          <w:p w14:paraId="71855C4F">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本项目位于</w:t>
            </w:r>
            <w:r>
              <w:rPr>
                <w:rFonts w:hint="default" w:ascii="Times New Roman" w:hAnsi="Times New Roman" w:eastAsia="宋体" w:cs="Times New Roman"/>
                <w:color w:val="auto"/>
                <w:sz w:val="24"/>
                <w:szCs w:val="24"/>
                <w:lang w:eastAsia="zh-CN"/>
              </w:rPr>
              <w:t>金坛区儒林现代产业园</w:t>
            </w:r>
            <w:r>
              <w:rPr>
                <w:rFonts w:hint="default" w:ascii="Times New Roman" w:hAnsi="Times New Roman" w:eastAsia="宋体" w:cs="Times New Roman"/>
                <w:bCs/>
                <w:color w:val="auto"/>
                <w:sz w:val="24"/>
                <w:szCs w:val="24"/>
              </w:rPr>
              <w:t>，根据《常州市“三线一单”生态环境分区管控实施方案》附件3中常州市环境管控单元名录，</w:t>
            </w:r>
            <w:r>
              <w:rPr>
                <w:rFonts w:hint="default" w:ascii="Times New Roman" w:hAnsi="Times New Roman" w:eastAsia="宋体" w:cs="Times New Roman"/>
                <w:color w:val="auto"/>
                <w:sz w:val="24"/>
                <w:szCs w:val="24"/>
                <w:lang w:eastAsia="zh-CN"/>
              </w:rPr>
              <w:t>属于“重点管控单元”。具体环境管控单元准入清单见下表。</w:t>
            </w:r>
          </w:p>
          <w:p w14:paraId="47928D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eastAsia="zh-CN"/>
              </w:rPr>
              <w:t>《常州市生态环境分区管控动态更新成果》（2023年版）</w:t>
            </w:r>
            <w:r>
              <w:rPr>
                <w:rFonts w:hint="default" w:ascii="Times New Roman" w:hAnsi="Times New Roman" w:eastAsia="宋体" w:cs="Times New Roman"/>
                <w:b/>
                <w:bCs/>
                <w:color w:val="auto"/>
                <w:sz w:val="21"/>
                <w:szCs w:val="21"/>
              </w:rPr>
              <w:t>相符性分析</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5045"/>
              <w:gridCol w:w="2734"/>
              <w:gridCol w:w="784"/>
            </w:tblGrid>
            <w:tr w14:paraId="0F2C4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noWrap w:val="0"/>
                  <w:vAlign w:val="center"/>
                </w:tcPr>
                <w:p w14:paraId="64F0DF24">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管控类别</w:t>
                  </w:r>
                </w:p>
              </w:tc>
              <w:tc>
                <w:tcPr>
                  <w:tcW w:w="2722" w:type="pct"/>
                  <w:noWrap w:val="0"/>
                  <w:vAlign w:val="center"/>
                </w:tcPr>
                <w:p w14:paraId="4266E821">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重点管控要求</w:t>
                  </w:r>
                </w:p>
              </w:tc>
              <w:tc>
                <w:tcPr>
                  <w:tcW w:w="1475" w:type="pct"/>
                  <w:noWrap w:val="0"/>
                  <w:vAlign w:val="center"/>
                </w:tcPr>
                <w:p w14:paraId="2C5398BA">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对照分析</w:t>
                  </w:r>
                </w:p>
              </w:tc>
              <w:tc>
                <w:tcPr>
                  <w:tcW w:w="423" w:type="pct"/>
                  <w:noWrap w:val="0"/>
                  <w:vAlign w:val="center"/>
                </w:tcPr>
                <w:p w14:paraId="49BD7218">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相符性</w:t>
                  </w:r>
                </w:p>
              </w:tc>
            </w:tr>
            <w:tr w14:paraId="35B93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4" w:hRule="atLeast"/>
                <w:jc w:val="center"/>
              </w:trPr>
              <w:tc>
                <w:tcPr>
                  <w:tcW w:w="379" w:type="pct"/>
                  <w:noWrap w:val="0"/>
                  <w:vAlign w:val="center"/>
                </w:tcPr>
                <w:p w14:paraId="546D2433">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空间布局约束</w:t>
                  </w:r>
                </w:p>
              </w:tc>
              <w:tc>
                <w:tcPr>
                  <w:tcW w:w="2722" w:type="pct"/>
                  <w:noWrap w:val="0"/>
                  <w:vAlign w:val="center"/>
                </w:tcPr>
                <w:p w14:paraId="04B79754">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（1）严格执行《江苏省“三线一单”生态环境分区管控方案》（苏政发〔2020〕49号）附件3江苏省省域生态环境管控要求中“空间布局约束”的相关要求。</w:t>
                  </w:r>
                </w:p>
                <w:p w14:paraId="4B3FCAEC">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（2）严格执行《关于印发各设区市2023年深入打好污染防治攻坚战目标任务书的通知》（苏污防攻坚指办〔2023〕53号）《2023年常州市生态文明建设工作方案》（常政发〔2023〕23号）等文件要求。</w:t>
                  </w:r>
                </w:p>
                <w:p w14:paraId="291F0A32">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禁止引进：列入《产业结构调整指导目录（2019年本）》、《江苏省产业结构调整限制、淘汰和禁止目录》、《江苏省工业和信息产业结构调整、限制、淘汰目录及能耗限额》淘汰类的产业；列入《外商投资产业指导目录》禁止类的产业。</w:t>
                  </w:r>
                </w:p>
                <w:p w14:paraId="291BB99A">
                  <w:pPr>
                    <w:pStyle w:val="379"/>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（4）根据《长江经济带发展负面清单指南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试行，2022年版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江苏省实施细则：禁止在距离长江干支流岸线一公里范围内新建、扩建化工园区和化工项目；禁止在长江干流岸线三公里范围内新建、改建、扩建尾矿库、冶炼渣库和磷石膏库，以提升安全、生态环境保护水平为目的的改建除外；禁止在太湖流域一、二、三级保护区内开展《江苏省太湖水污染防治条例》禁止的投资建设活动；禁止在沿江地区新建、扩建未纳入国家和省布局规划的燃煤发电项目；禁止在合规园区外新建、扩建钢铁、石化、化工、焦化、建材、有色、制浆造纸等高污染项目；禁止在取消化工定位的园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集中区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内新建化工项目。</w:t>
                  </w:r>
                </w:p>
              </w:tc>
              <w:tc>
                <w:tcPr>
                  <w:tcW w:w="1475" w:type="pct"/>
                  <w:noWrap w:val="0"/>
                  <w:vAlign w:val="center"/>
                </w:tcPr>
                <w:p w14:paraId="3AA45A2F">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1、本项目满足《江苏省“三线一单”生态环境分区管控方案》（苏政发〔2020〕49号）附件3江苏省省域生态环境管控要求中“空间布局约束”的相关要求；</w:t>
                  </w:r>
                </w:p>
                <w:p w14:paraId="54293812">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2、本项目满足《关于印发各设区市2023年深入打好污染防治攻坚战目标任务书的通知》（苏污防攻坚指办〔2023〕53号）《2023年常州市生态文明建设工作方案》（常政发〔2023〕23号）等文件要求；</w:t>
                  </w:r>
                </w:p>
                <w:p w14:paraId="709DB8DE">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3、本项目不属于管控要求中所列相关禁止类或淘汰类产业；</w:t>
                  </w:r>
                </w:p>
                <w:p w14:paraId="42690FB8">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4、本项目位于</w:t>
                  </w:r>
                  <w:r>
                    <w:rPr>
                      <w:rFonts w:hint="default" w:ascii="Times New Roman" w:hAnsi="Times New Roman" w:eastAsia="宋体" w:cs="Times New Roman"/>
                      <w:color w:val="auto"/>
                      <w:sz w:val="21"/>
                      <w:szCs w:val="21"/>
                      <w:highlight w:val="none"/>
                      <w:lang w:eastAsia="zh-CN"/>
                    </w:rPr>
                    <w:t>江苏省常州市金坛区儒园路1号</w:t>
                  </w:r>
                  <w:r>
                    <w:rPr>
                      <w:rFonts w:hint="default" w:ascii="Times New Roman" w:hAnsi="Times New Roman" w:eastAsia="宋体" w:cs="Times New Roman"/>
                      <w:color w:val="auto"/>
                      <w:sz w:val="21"/>
                      <w:szCs w:val="21"/>
                      <w:highlight w:val="none"/>
                    </w:rPr>
                    <w:t>，不在长江干支流1公里范围内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不在</w:t>
                  </w:r>
                  <w:r>
                    <w:rPr>
                      <w:rFonts w:hint="default" w:ascii="Times New Roman" w:hAnsi="Times New Roman" w:eastAsia="宋体" w:cs="Times New Roman"/>
                      <w:color w:val="auto"/>
                      <w:sz w:val="21"/>
                      <w:szCs w:val="21"/>
                      <w:highlight w:val="none"/>
                    </w:rPr>
                    <w:t>长江干流岸线三公里范围内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在</w:t>
                  </w:r>
                  <w:r>
                    <w:rPr>
                      <w:rFonts w:hint="default" w:ascii="Times New Roman" w:hAnsi="Times New Roman" w:eastAsia="宋体" w:cs="Times New Roman"/>
                      <w:color w:val="auto"/>
                      <w:sz w:val="21"/>
                      <w:szCs w:val="21"/>
                      <w:highlight w:val="none"/>
                    </w:rPr>
                    <w:t>太湖流域三级保护区内</w:t>
                  </w:r>
                  <w:r>
                    <w:rPr>
                      <w:rFonts w:hint="default" w:ascii="Times New Roman" w:hAnsi="Times New Roman" w:eastAsia="宋体" w:cs="Times New Roman"/>
                      <w:color w:val="auto"/>
                      <w:sz w:val="21"/>
                      <w:szCs w:val="21"/>
                      <w:highlight w:val="none"/>
                      <w:lang w:eastAsia="zh-CN"/>
                    </w:rPr>
                    <w:t>。</w:t>
                  </w:r>
                </w:p>
              </w:tc>
              <w:tc>
                <w:tcPr>
                  <w:tcW w:w="423" w:type="pct"/>
                  <w:noWrap w:val="0"/>
                  <w:vAlign w:val="center"/>
                </w:tcPr>
                <w:p w14:paraId="0D6C29E2">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相符</w:t>
                  </w:r>
                </w:p>
              </w:tc>
            </w:tr>
            <w:tr w14:paraId="3B302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noWrap w:val="0"/>
                  <w:vAlign w:val="center"/>
                </w:tcPr>
                <w:p w14:paraId="1C3F40F5">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污染物排放管控</w:t>
                  </w:r>
                </w:p>
              </w:tc>
              <w:tc>
                <w:tcPr>
                  <w:tcW w:w="2722" w:type="pct"/>
                  <w:noWrap w:val="0"/>
                  <w:vAlign w:val="center"/>
                </w:tcPr>
                <w:p w14:paraId="3E42C801">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（1）坚持生态环境质量只能更好、不能变坏，实施污染物总量控制，以环境容量定产业、定项目、定规模，确保开发建设行为不突破生态环境承载力。</w:t>
                  </w:r>
                </w:p>
                <w:p w14:paraId="596220CC">
                  <w:pPr>
                    <w:pStyle w:val="379"/>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2）《常州市“十四五”生态环境保护规划》（常政办发〔2021〕130号），到2025年，常州市主要污染物减排满足省下达指标要求。全面贯彻落实《江苏省工业园区（集中区）污染物排放限值限量管理工作方案（试行）》（苏环办〔2021〕232号），完善工业园区主要污染物排放总量控制措施，实现主要污染物排放浓度和总量“双控”。</w:t>
                  </w:r>
                </w:p>
              </w:tc>
              <w:tc>
                <w:tcPr>
                  <w:tcW w:w="1475" w:type="pct"/>
                  <w:noWrap w:val="0"/>
                  <w:vAlign w:val="center"/>
                </w:tcPr>
                <w:p w14:paraId="474C0C05">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bCs/>
                      <w:color w:val="auto"/>
                      <w:sz w:val="21"/>
                      <w:szCs w:val="21"/>
                      <w:highlight w:val="none"/>
                    </w:rPr>
                    <w:t>本项目</w:t>
                  </w:r>
                  <w:r>
                    <w:rPr>
                      <w:rFonts w:hint="eastAsia" w:cs="Times New Roman"/>
                      <w:bCs/>
                      <w:color w:val="auto"/>
                      <w:sz w:val="21"/>
                      <w:szCs w:val="21"/>
                      <w:highlight w:val="none"/>
                      <w:lang w:val="en-US" w:eastAsia="zh-CN"/>
                    </w:rPr>
                    <w:t>无生产废水</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生活污水经接管至</w:t>
                  </w:r>
                  <w:r>
                    <w:rPr>
                      <w:rFonts w:hint="default" w:ascii="Times New Roman" w:hAnsi="Times New Roman" w:eastAsia="宋体" w:cs="Times New Roman"/>
                      <w:bCs/>
                      <w:color w:val="auto"/>
                      <w:sz w:val="21"/>
                      <w:szCs w:val="21"/>
                      <w:highlight w:val="none"/>
                      <w:lang w:eastAsia="zh-CN"/>
                    </w:rPr>
                    <w:t>常州市</w:t>
                  </w:r>
                  <w:r>
                    <w:rPr>
                      <w:rFonts w:hint="eastAsia" w:cs="Times New Roman"/>
                      <w:bCs/>
                      <w:color w:val="auto"/>
                      <w:sz w:val="21"/>
                      <w:szCs w:val="21"/>
                      <w:highlight w:val="none"/>
                      <w:lang w:eastAsia="zh-CN"/>
                    </w:rPr>
                    <w:t>常州市金坛儒林污水处理厂</w:t>
                  </w:r>
                  <w:r>
                    <w:rPr>
                      <w:rFonts w:hint="default" w:ascii="Times New Roman" w:hAnsi="Times New Roman" w:eastAsia="宋体" w:cs="Times New Roman"/>
                      <w:bCs/>
                      <w:color w:val="auto"/>
                      <w:sz w:val="21"/>
                      <w:szCs w:val="21"/>
                      <w:highlight w:val="none"/>
                    </w:rPr>
                    <w:t>集中处理。</w:t>
                  </w:r>
                  <w:r>
                    <w:rPr>
                      <w:rFonts w:hint="default" w:ascii="Times New Roman" w:hAnsi="Times New Roman" w:eastAsia="宋体" w:cs="Times New Roman"/>
                      <w:color w:val="auto"/>
                      <w:sz w:val="21"/>
                      <w:szCs w:val="21"/>
                      <w:highlight w:val="none"/>
                    </w:rPr>
                    <w:t>本项目废气均达标排放，不属于禁止建设的产业，建设行为不突破生态环境承载力。</w:t>
                  </w:r>
                </w:p>
                <w:p w14:paraId="22515D51">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2、目前，本项目处于环评编制阶段，在环评审批前将严格落实主要污染物排放总量指标控制制度，取得主要污染物排放总量的控制指标和平衡方案，故符合文件要求。</w:t>
                  </w:r>
                </w:p>
              </w:tc>
              <w:tc>
                <w:tcPr>
                  <w:tcW w:w="423" w:type="pct"/>
                  <w:noWrap w:val="0"/>
                  <w:vAlign w:val="center"/>
                </w:tcPr>
                <w:p w14:paraId="4873517D">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相符</w:t>
                  </w:r>
                </w:p>
              </w:tc>
            </w:tr>
            <w:tr w14:paraId="0B144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noWrap w:val="0"/>
                  <w:vAlign w:val="center"/>
                </w:tcPr>
                <w:p w14:paraId="45E48485">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环境风险防控</w:t>
                  </w:r>
                </w:p>
              </w:tc>
              <w:tc>
                <w:tcPr>
                  <w:tcW w:w="2722" w:type="pct"/>
                  <w:noWrap w:val="0"/>
                  <w:vAlign w:val="center"/>
                </w:tcPr>
                <w:p w14:paraId="063C2954">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（1）严格执行《江苏省“三线一单”生态环境分区管控方案》（苏政发〔2020〕49号）附件3江苏省省域生态环境管控要求中“环境风险防控”的相关要求。</w:t>
                  </w:r>
                </w:p>
                <w:p w14:paraId="04F3529C">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根据《常州市长江生态优先绿色发展三年行动计划（2019-2021年）》（常长江发〔2019〕3号），大幅压减沿江地区化工生产企业数量，沿江1公里范围内凡是与化工园区无产业链关联、安全和环保隐患大的企业2020年底前依法关停退出。</w:t>
                  </w:r>
                </w:p>
                <w:p w14:paraId="7A3C6505">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（3）强化饮用水水源环境风险管控，建成应急水源工程。</w:t>
                  </w:r>
                </w:p>
                <w:p w14:paraId="08110F10">
                  <w:pPr>
                    <w:pStyle w:val="379"/>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4）完善废弃危险化学品等危险废物（以下简称“危险废物”）、重点环保设施和项目、涉爆粉尘企业等分级管控和隐患排查治理的责任体系、制度标准、工作机制；重点加强化学工业园区、涉及大宗危化品使用企业、贮存和运输危化品的港口码头、尾矿库、集中式污水处理厂、危废处理企业的环境风险防控；建立覆盖危险废物产生、收集、贮存、转移、运输、利用、处置等全过程的监督体系，严厉打击危险废物非法转移、处置和倾倒行为。</w:t>
                  </w:r>
                </w:p>
              </w:tc>
              <w:tc>
                <w:tcPr>
                  <w:tcW w:w="1475" w:type="pct"/>
                  <w:noWrap w:val="0"/>
                  <w:vAlign w:val="center"/>
                </w:tcPr>
                <w:p w14:paraId="6F37140F">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1、本项目将严格执行《江苏省“三线一单”生态环境分区管控方案》（苏政发〔2020〕49号）附件3江苏省省域生态环境管控要求中“环境风险防控”的相关要求。</w:t>
                  </w:r>
                </w:p>
                <w:p w14:paraId="3206CC5A">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2、</w:t>
                  </w:r>
                  <w:r>
                    <w:rPr>
                      <w:rFonts w:hint="default" w:ascii="Times New Roman" w:hAnsi="Times New Roman" w:eastAsia="宋体" w:cs="Times New Roman"/>
                      <w:color w:val="auto"/>
                      <w:sz w:val="21"/>
                      <w:szCs w:val="21"/>
                      <w:highlight w:val="none"/>
                    </w:rPr>
                    <w:t>本项目位于</w:t>
                  </w:r>
                  <w:r>
                    <w:rPr>
                      <w:rFonts w:hint="default" w:ascii="Times New Roman" w:hAnsi="Times New Roman" w:eastAsia="宋体" w:cs="Times New Roman"/>
                      <w:color w:val="auto"/>
                      <w:sz w:val="21"/>
                      <w:szCs w:val="21"/>
                      <w:highlight w:val="none"/>
                      <w:lang w:eastAsia="zh-CN"/>
                    </w:rPr>
                    <w:t>江苏省常州市金坛区儒园路1号</w:t>
                  </w:r>
                  <w:r>
                    <w:rPr>
                      <w:rFonts w:hint="default" w:ascii="Times New Roman" w:hAnsi="Times New Roman" w:eastAsia="宋体" w:cs="Times New Roman"/>
                      <w:color w:val="auto"/>
                      <w:sz w:val="21"/>
                      <w:szCs w:val="21"/>
                      <w:highlight w:val="none"/>
                    </w:rPr>
                    <w:t>，不在长江沿江1公里范围内。</w:t>
                  </w:r>
                </w:p>
                <w:p w14:paraId="1E6D7EFE">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3、本项目周边无饮用水水源。</w:t>
                  </w:r>
                </w:p>
                <w:p w14:paraId="0731D38E">
                  <w:pPr>
                    <w:keepNext w:val="0"/>
                    <w:keepLines w:val="0"/>
                    <w:pageBreakBefore w:val="0"/>
                    <w:widowControl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4</w:t>
                  </w:r>
                  <w:r>
                    <w:rPr>
                      <w:rFonts w:hint="default" w:ascii="Times New Roman" w:hAnsi="Times New Roman" w:eastAsia="宋体" w:cs="Times New Roman"/>
                      <w:bCs/>
                      <w:color w:val="auto"/>
                      <w:sz w:val="21"/>
                      <w:szCs w:val="21"/>
                      <w:highlight w:val="none"/>
                    </w:rPr>
                    <w:t>、本项目危险废物暂存于危废仓库中，危废仓库符合《危险废物贮存污染控制标准》（GB18597-2023），并委托有资质单位定期处理危废；危废的管理过程将在“江苏省危险废物全生命周期监控系统”中体现</w:t>
                  </w:r>
                </w:p>
              </w:tc>
              <w:tc>
                <w:tcPr>
                  <w:tcW w:w="423" w:type="pct"/>
                  <w:noWrap w:val="0"/>
                  <w:vAlign w:val="center"/>
                </w:tcPr>
                <w:p w14:paraId="094E1A4C">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相符</w:t>
                  </w:r>
                </w:p>
              </w:tc>
            </w:tr>
            <w:tr w14:paraId="0D7CD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 w:type="pct"/>
                  <w:noWrap w:val="0"/>
                  <w:vAlign w:val="center"/>
                </w:tcPr>
                <w:p w14:paraId="2773C443">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资源利用效率要求</w:t>
                  </w:r>
                </w:p>
              </w:tc>
              <w:tc>
                <w:tcPr>
                  <w:tcW w:w="2722" w:type="pct"/>
                  <w:noWrap w:val="0"/>
                  <w:vAlign w:val="center"/>
                </w:tcPr>
                <w:p w14:paraId="141CFE1E">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江苏省水利厅江苏省发展和改革委员会关于印发“十四五”用水总量和强度控制目标的通知》（苏水节〔2022〕6号），到2025年，常州市用水总量控制在31.0亿立方米，其中非常规水源利用量控制在0.81亿立方米，万元国内生产总值用水量比2020年下降19%，万元工业增加值用水量比2020年下降18.5%，农田灌溉水利用系数达0.688。</w:t>
                  </w:r>
                </w:p>
                <w:p w14:paraId="703E7906">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（2）根据《常州市国土空间总体规划（2021-2035年）（上报稿）》，永久基本农田实际划定是7.53万公顷，2035年任务量为7.66万公顷。</w:t>
                  </w:r>
                </w:p>
                <w:p w14:paraId="6778A6E0">
                  <w:pPr>
                    <w:pStyle w:val="379"/>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根据《市政府关于公布常州市高污染燃料禁燃区类别的通告》（常政发〔2017〕163号）、《市政府关于公布溧阳市高污染燃料禁燃区控制类别的通告》（溧政发〔2018〕6号），常州市禁燃区内禁止新建、扩建燃用高污染燃料的项目和设施，已建成的应逐步或依法限期改用天然气、电或者其他清洁能源。禁止燃用的燃料主要包括：①“</w:t>
                  </w:r>
                  <w:r>
                    <w:rPr>
                      <w:rFonts w:hint="default" w:ascii="Times New Roman" w:hAnsi="Times New Roman" w:eastAsia="宋体" w:cs="Times New Roman"/>
                      <w:color w:val="auto"/>
                      <w:sz w:val="21"/>
                      <w:szCs w:val="21"/>
                      <w:highlight w:val="none"/>
                      <w:lang w:eastAsia="zh-CN"/>
                    </w:rPr>
                    <w:t>Ⅱ类</w:t>
                  </w:r>
                  <w:r>
                    <w:rPr>
                      <w:rFonts w:hint="default" w:ascii="Times New Roman" w:hAnsi="Times New Roman" w:eastAsia="宋体" w:cs="Times New Roman"/>
                      <w:color w:val="auto"/>
                      <w:sz w:val="21"/>
                      <w:szCs w:val="21"/>
                      <w:highlight w:val="none"/>
                    </w:rPr>
                    <w:t>”（较严），具体包括：除单台出力大于等于20蒸吨/小时锅炉以外燃用的煤炭及其制品；石油焦、油页岩、原油、重油、渣油、煤焦油。②“</w:t>
                  </w:r>
                  <w:r>
                    <w:rPr>
                      <w:rFonts w:hint="default" w:ascii="Times New Roman" w:hAnsi="Times New Roman" w:eastAsia="宋体" w:cs="Times New Roman"/>
                      <w:color w:val="auto"/>
                      <w:sz w:val="21"/>
                      <w:szCs w:val="21"/>
                      <w:highlight w:val="none"/>
                      <w:lang w:eastAsia="zh-CN"/>
                    </w:rPr>
                    <w:t>Ⅲ类</w:t>
                  </w:r>
                  <w:r>
                    <w:rPr>
                      <w:rFonts w:hint="default" w:ascii="Times New Roman" w:hAnsi="Times New Roman" w:eastAsia="宋体" w:cs="Times New Roman"/>
                      <w:color w:val="auto"/>
                      <w:sz w:val="21"/>
                      <w:szCs w:val="21"/>
                      <w:highlight w:val="none"/>
                    </w:rPr>
                    <w:t>”（严格），具体包括：煤炭及其制品（包括原煤、散煤、煤矸石、煤泥、煤粉、水煤浆、型煤、焦炭、兰炭等）；石油焦、油页岩、原油、重油、渣油、煤焦油；非专用锅炉或未配置高效除尘设施的专用锅炉燃用的生物质成型燃料；国家规定的其它高污染燃料。</w:t>
                  </w:r>
                </w:p>
                <w:p w14:paraId="5AECFAE9">
                  <w:pPr>
                    <w:pStyle w:val="379"/>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4）根据《常州市“十四五”能源发展规划》（常政办发〔2021〕101号），到2025年，常州市能源消费总量控制在2881万吨标准煤，其中煤炭消费总量控制在1000万吨以内，非化石能源利用量达到86.43万吨标准煤，占能源消费总量的3%，比重比2020年提高1.4个百分点。到2025年，全市万元地区生产总值能耗（按2020年可比价计算）五年累计下降达到省控目标。</w:t>
                  </w:r>
                </w:p>
              </w:tc>
              <w:tc>
                <w:tcPr>
                  <w:tcW w:w="1475" w:type="pct"/>
                  <w:noWrap w:val="0"/>
                  <w:vAlign w:val="center"/>
                </w:tcPr>
                <w:p w14:paraId="0135AB3F">
                  <w:pPr>
                    <w:pStyle w:val="2"/>
                    <w:keepNext w:val="0"/>
                    <w:keepLines w:val="0"/>
                    <w:pageBreakBefore w:val="0"/>
                    <w:kinsoku/>
                    <w:wordWrap/>
                    <w:overflowPunct/>
                    <w:topLinePunct w:val="0"/>
                    <w:autoSpaceDE/>
                    <w:autoSpaceDN/>
                    <w:bidi w:val="0"/>
                    <w:snapToGrid w:val="0"/>
                    <w:spacing w:before="0" w:after="0" w:line="240" w:lineRule="auto"/>
                    <w:ind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本项目使用的主要能源为电能</w:t>
                  </w:r>
                </w:p>
              </w:tc>
              <w:tc>
                <w:tcPr>
                  <w:tcW w:w="423" w:type="pct"/>
                  <w:noWrap w:val="0"/>
                  <w:vAlign w:val="center"/>
                </w:tcPr>
                <w:p w14:paraId="65B1B373">
                  <w:pPr>
                    <w:keepNext w:val="0"/>
                    <w:keepLines w:val="0"/>
                    <w:pageBreakBefore w:val="0"/>
                    <w:kinsoku/>
                    <w:wordWrap/>
                    <w:overflowPunct/>
                    <w:topLinePunct w:val="0"/>
                    <w:autoSpaceDE/>
                    <w:autoSpaceDN/>
                    <w:bidi w:val="0"/>
                    <w:adjustRightInd w:val="0"/>
                    <w:snapToGrid w:val="0"/>
                    <w:spacing w:line="240" w:lineRule="auto"/>
                    <w:ind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相符</w:t>
                  </w:r>
                </w:p>
              </w:tc>
            </w:tr>
          </w:tbl>
          <w:p w14:paraId="383DC83F">
            <w:pPr>
              <w:keepNext w:val="0"/>
              <w:keepLines w:val="0"/>
              <w:pageBreakBefore w:val="0"/>
              <w:widowControl w:val="0"/>
              <w:kinsoku/>
              <w:wordWrap/>
              <w:overflowPunct/>
              <w:topLinePunct w:val="0"/>
              <w:autoSpaceDE w:val="0"/>
              <w:autoSpaceDN w:val="0"/>
              <w:bidi w:val="0"/>
              <w:adjustRightInd w:val="0"/>
              <w:snapToGrid w:val="0"/>
              <w:spacing w:line="480" w:lineRule="exact"/>
              <w:jc w:val="left"/>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7、与《省生态环境厅关于进一步做好建设项目环评审批工作的通知》（苏环办〔2019〕36号）相符性分析</w:t>
            </w:r>
          </w:p>
          <w:p w14:paraId="2DF52D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表1-</w:t>
            </w:r>
            <w:r>
              <w:rPr>
                <w:rFonts w:hint="eastAsia" w:cs="Times New Roman"/>
                <w:b/>
                <w:bCs/>
                <w:color w:val="auto"/>
                <w:kern w:val="0"/>
                <w:sz w:val="21"/>
                <w:szCs w:val="21"/>
                <w:highlight w:val="none"/>
                <w:lang w:val="en-US" w:eastAsia="zh-CN"/>
              </w:rPr>
              <w:t>8</w:t>
            </w:r>
            <w:r>
              <w:rPr>
                <w:rFonts w:hint="default" w:ascii="Times New Roman" w:hAnsi="Times New Roman" w:eastAsia="宋体" w:cs="Times New Roman"/>
                <w:b/>
                <w:bCs/>
                <w:color w:val="auto"/>
                <w:kern w:val="0"/>
                <w:sz w:val="21"/>
                <w:szCs w:val="21"/>
                <w:highlight w:val="none"/>
              </w:rPr>
              <w:t xml:space="preserve"> 与《省生态环境厅关于进一步做好建设项目环评审批工作的通知》（苏环办</w:t>
            </w:r>
            <w:r>
              <w:rPr>
                <w:rFonts w:hint="default" w:ascii="Times New Roman" w:hAnsi="Times New Roman" w:eastAsia="宋体" w:cs="Times New Roman"/>
                <w:b/>
                <w:bCs/>
                <w:color w:val="auto"/>
                <w:kern w:val="0"/>
                <w:sz w:val="21"/>
                <w:szCs w:val="21"/>
                <w:highlight w:val="none"/>
                <w:lang w:eastAsia="zh-CN"/>
              </w:rPr>
              <w:t>〔2019〕36号</w:t>
            </w:r>
            <w:r>
              <w:rPr>
                <w:rFonts w:hint="default" w:ascii="Times New Roman" w:hAnsi="Times New Roman" w:eastAsia="宋体" w:cs="Times New Roman"/>
                <w:b/>
                <w:bCs/>
                <w:color w:val="auto"/>
                <w:kern w:val="0"/>
                <w:sz w:val="21"/>
                <w:szCs w:val="21"/>
                <w:highlight w:val="none"/>
              </w:rPr>
              <w:t>）相符性分析</w:t>
            </w:r>
          </w:p>
          <w:tbl>
            <w:tblPr>
              <w:tblStyle w:val="4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872"/>
              <w:gridCol w:w="4508"/>
              <w:gridCol w:w="2305"/>
              <w:gridCol w:w="576"/>
            </w:tblGrid>
            <w:tr w14:paraId="720B9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1010" w:type="pct"/>
                  <w:tcBorders>
                    <w:tl2br w:val="nil"/>
                    <w:tr2bl w:val="nil"/>
                  </w:tcBorders>
                  <w:noWrap w:val="0"/>
                  <w:vAlign w:val="center"/>
                </w:tcPr>
                <w:p w14:paraId="3FFB064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2433" w:type="pct"/>
                  <w:tcBorders>
                    <w:tl2br w:val="nil"/>
                    <w:tr2bl w:val="nil"/>
                  </w:tcBorders>
                  <w:noWrap w:val="0"/>
                  <w:vAlign w:val="center"/>
                </w:tcPr>
                <w:p w14:paraId="58EC3E4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文件要求（建设项目环评审批要点）</w:t>
                  </w:r>
                </w:p>
              </w:tc>
              <w:tc>
                <w:tcPr>
                  <w:tcW w:w="1244" w:type="pct"/>
                  <w:tcBorders>
                    <w:tl2br w:val="nil"/>
                    <w:tr2bl w:val="nil"/>
                  </w:tcBorders>
                  <w:noWrap w:val="0"/>
                  <w:vAlign w:val="center"/>
                </w:tcPr>
                <w:p w14:paraId="263AD14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11" w:type="pct"/>
                  <w:tcBorders>
                    <w:tl2br w:val="nil"/>
                    <w:tr2bl w:val="nil"/>
                  </w:tcBorders>
                  <w:noWrap w:val="0"/>
                  <w:vAlign w:val="center"/>
                </w:tcPr>
                <w:p w14:paraId="7D1D222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1BD55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1010" w:type="pct"/>
                  <w:tcBorders>
                    <w:tl2br w:val="nil"/>
                    <w:tr2bl w:val="nil"/>
                  </w:tcBorders>
                  <w:noWrap w:val="0"/>
                  <w:vAlign w:val="center"/>
                </w:tcPr>
                <w:p w14:paraId="2228E31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《建设项目环境保护管理条例》</w:t>
                  </w:r>
                </w:p>
              </w:tc>
              <w:tc>
                <w:tcPr>
                  <w:tcW w:w="2433" w:type="pct"/>
                  <w:tcBorders>
                    <w:tl2br w:val="nil"/>
                    <w:tr2bl w:val="nil"/>
                  </w:tcBorders>
                  <w:noWrap w:val="0"/>
                  <w:vAlign w:val="center"/>
                </w:tcPr>
                <w:p w14:paraId="626DCF9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下列情形之一的，不予批准：（1）建设项目类型及其选址、布局、规模等不符合环境保护法律法规和相关法定规划；（2）所在区域环境质量未达到国家或者地方环境质量标准，且建设项目拟采取的措施不能满足区域环境质量改善目标管理要求；（3）建设项目采取的污染防治措施无法确保污染物排放达到国家和地方排放标准，或者未采取必要措施预防和控制生态破坏；（4）改建、扩建和技术改造项目，未针对项目原有环境污染和生态破坏提出有效防治措施；（5）建设项目的环境影响报告书、环境影响报告表的基础资料数据明显不实，内容存在重大缺陷、遗漏，或者环境影响评价结论不明确、不合理。</w:t>
                  </w:r>
                </w:p>
              </w:tc>
              <w:tc>
                <w:tcPr>
                  <w:tcW w:w="1244" w:type="pct"/>
                  <w:tcBorders>
                    <w:tl2br w:val="nil"/>
                    <w:tr2bl w:val="nil"/>
                  </w:tcBorders>
                  <w:noWrap w:val="0"/>
                  <w:vAlign w:val="center"/>
                </w:tcPr>
                <w:p w14:paraId="06C0038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本项目所在地规划符合环境保护法律法规和相关法定规划要求；②项目所在区域环境控制质量不达标，本项目采取的措施有效可行，确保污染物稳定达标，区域已经制定限期达标规划，项目建设满足区域环境质量改善目标管理要求；③项目污染物经处理后可稳定达到国家和地方排放标准；④本项目基础数据真实有效，评价结论合理可信。</w:t>
                  </w:r>
                </w:p>
              </w:tc>
              <w:tc>
                <w:tcPr>
                  <w:tcW w:w="311" w:type="pct"/>
                  <w:tcBorders>
                    <w:tl2br w:val="nil"/>
                    <w:tr2bl w:val="nil"/>
                  </w:tcBorders>
                  <w:noWrap w:val="0"/>
                  <w:vAlign w:val="center"/>
                </w:tcPr>
                <w:p w14:paraId="74905E3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4307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53" w:hRule="atLeast"/>
                <w:jc w:val="center"/>
              </w:trPr>
              <w:tc>
                <w:tcPr>
                  <w:tcW w:w="1010" w:type="pct"/>
                  <w:tcBorders>
                    <w:tl2br w:val="nil"/>
                    <w:tr2bl w:val="nil"/>
                  </w:tcBorders>
                  <w:noWrap w:val="0"/>
                  <w:vAlign w:val="center"/>
                </w:tcPr>
                <w:p w14:paraId="41F1813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《农用地土壤环境管理办法（试行）》</w:t>
                  </w:r>
                </w:p>
              </w:tc>
              <w:tc>
                <w:tcPr>
                  <w:tcW w:w="2433" w:type="pct"/>
                  <w:tcBorders>
                    <w:tl2br w:val="nil"/>
                    <w:tr2bl w:val="nil"/>
                  </w:tcBorders>
                  <w:noWrap w:val="0"/>
                  <w:vAlign w:val="center"/>
                </w:tcPr>
                <w:p w14:paraId="75D35C6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严格控制在优先保护类耕地集中区域新建有色金属冶炼、石油加工、化工、焦化、电镀、制革等行业企业，有关环境保护主管部门依法不予审批可能造成耕地土壤污染的建设项目环境影响报告书或者报告表。</w:t>
                  </w:r>
                </w:p>
              </w:tc>
              <w:tc>
                <w:tcPr>
                  <w:tcW w:w="1244" w:type="pct"/>
                  <w:tcBorders>
                    <w:tl2br w:val="nil"/>
                    <w:tr2bl w:val="nil"/>
                  </w:tcBorders>
                  <w:noWrap w:val="0"/>
                  <w:vAlign w:val="center"/>
                </w:tcPr>
                <w:p w14:paraId="3687D9CF">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，用地性质为工业用地。</w:t>
                  </w:r>
                </w:p>
              </w:tc>
              <w:tc>
                <w:tcPr>
                  <w:tcW w:w="311" w:type="pct"/>
                  <w:tcBorders>
                    <w:tl2br w:val="nil"/>
                    <w:tr2bl w:val="nil"/>
                  </w:tcBorders>
                  <w:noWrap w:val="0"/>
                  <w:vAlign w:val="center"/>
                </w:tcPr>
                <w:p w14:paraId="3A88E0C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6C7F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2" w:hRule="atLeast"/>
                <w:jc w:val="center"/>
              </w:trPr>
              <w:tc>
                <w:tcPr>
                  <w:tcW w:w="1010" w:type="pct"/>
                  <w:tcBorders>
                    <w:tl2br w:val="nil"/>
                    <w:tr2bl w:val="nil"/>
                  </w:tcBorders>
                  <w:noWrap w:val="0"/>
                  <w:vAlign w:val="center"/>
                </w:tcPr>
                <w:p w14:paraId="28E65D9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《关于印发</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建设项目主要污染物排放总量指标审核及管理暂行办法</w:t>
                  </w:r>
                  <w:r>
                    <w:rPr>
                      <w:rFonts w:hint="default" w:ascii="Times New Roman" w:hAnsi="Times New Roman" w:eastAsia="宋体" w:cs="Times New Roman"/>
                      <w:color w:val="auto"/>
                      <w:sz w:val="21"/>
                      <w:szCs w:val="21"/>
                      <w:lang w:eastAsia="zh-CN"/>
                    </w:rPr>
                    <w:t>〉的通知》（</w:t>
                  </w:r>
                  <w:r>
                    <w:rPr>
                      <w:rFonts w:hint="default" w:ascii="Times New Roman" w:hAnsi="Times New Roman" w:eastAsia="宋体" w:cs="Times New Roman"/>
                      <w:color w:val="auto"/>
                      <w:sz w:val="21"/>
                      <w:szCs w:val="21"/>
                    </w:rPr>
                    <w:t>环发〔2014〕197号</w:t>
                  </w:r>
                  <w:r>
                    <w:rPr>
                      <w:rFonts w:hint="default" w:ascii="Times New Roman" w:hAnsi="Times New Roman" w:eastAsia="宋体" w:cs="Times New Roman"/>
                      <w:color w:val="auto"/>
                      <w:sz w:val="21"/>
                      <w:szCs w:val="21"/>
                      <w:lang w:eastAsia="zh-CN"/>
                    </w:rPr>
                    <w:t>）</w:t>
                  </w:r>
                </w:p>
              </w:tc>
              <w:tc>
                <w:tcPr>
                  <w:tcW w:w="2433" w:type="pct"/>
                  <w:tcBorders>
                    <w:tl2br w:val="nil"/>
                    <w:tr2bl w:val="nil"/>
                  </w:tcBorders>
                  <w:noWrap w:val="0"/>
                  <w:vAlign w:val="center"/>
                </w:tcPr>
                <w:p w14:paraId="70CE671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严格落实污染物排放总量控制制度，把主要污染物排放总量指标作为建设项目环境影响评价审批的前置条件。排放主要污染物的建设项目，在环境影响评价文件审批前，须取得主要污染物排放总量指标。</w:t>
                  </w:r>
                </w:p>
              </w:tc>
              <w:tc>
                <w:tcPr>
                  <w:tcW w:w="1244" w:type="pct"/>
                  <w:tcBorders>
                    <w:tl2br w:val="nil"/>
                    <w:tr2bl w:val="nil"/>
                  </w:tcBorders>
                  <w:noWrap w:val="0"/>
                  <w:vAlign w:val="center"/>
                </w:tcPr>
                <w:p w14:paraId="2E34D3A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本项目拟在环境影响评价文件审批前，取得主要污染物排放总量指标。</w:t>
                  </w:r>
                </w:p>
              </w:tc>
              <w:tc>
                <w:tcPr>
                  <w:tcW w:w="311" w:type="pct"/>
                  <w:tcBorders>
                    <w:tl2br w:val="nil"/>
                    <w:tr2bl w:val="nil"/>
                  </w:tcBorders>
                  <w:noWrap w:val="0"/>
                  <w:vAlign w:val="center"/>
                </w:tcPr>
                <w:p w14:paraId="6884C4E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7823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1010" w:type="pct"/>
                  <w:tcBorders>
                    <w:tl2br w:val="nil"/>
                    <w:tr2bl w:val="nil"/>
                  </w:tcBorders>
                  <w:noWrap w:val="0"/>
                  <w:vAlign w:val="center"/>
                </w:tcPr>
                <w:p w14:paraId="39A20DD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《关于以改善环境质量为核心加强环境影响评价管理的通知》（环环评〔2016〕150号）</w:t>
                  </w:r>
                </w:p>
              </w:tc>
              <w:tc>
                <w:tcPr>
                  <w:tcW w:w="2433" w:type="pct"/>
                  <w:tcBorders>
                    <w:tl2br w:val="nil"/>
                    <w:tr2bl w:val="nil"/>
                  </w:tcBorders>
                  <w:noWrap w:val="0"/>
                  <w:vAlign w:val="center"/>
                </w:tcPr>
                <w:p w14:paraId="22F3AA6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规划环评要作为规划所包含项目环评的重要依据，对于不符合规划环评结论及审查意见的项目环评，依法不予审批。</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对于现有同类型项目环境污染或生态破坏严重、环境违法违规现象多发，致使环境容量接近或超过承载能力的地区，在现有问题整改到位前，依法暂停审批该地区同类行业的项目环评文件。</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244" w:type="pct"/>
                  <w:tcBorders>
                    <w:tl2br w:val="nil"/>
                    <w:tr2bl w:val="nil"/>
                  </w:tcBorders>
                  <w:noWrap w:val="0"/>
                  <w:vAlign w:val="center"/>
                </w:tcPr>
                <w:p w14:paraId="51F49F3A">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本项目建设内容符合所在区域定位，且不在生态保护红线范围内；</w:t>
                  </w:r>
                </w:p>
                <w:p w14:paraId="65353C91">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项目所在地为非达标区，</w:t>
                  </w:r>
                  <w:r>
                    <w:rPr>
                      <w:rFonts w:hint="default" w:ascii="Times New Roman" w:hAnsi="Times New Roman" w:eastAsia="宋体" w:cs="Times New Roman"/>
                      <w:color w:val="auto"/>
                      <w:sz w:val="21"/>
                      <w:szCs w:val="21"/>
                      <w:highlight w:val="none"/>
                    </w:rPr>
                    <w:t>本项目各废气因子排放量较小，</w:t>
                  </w:r>
                  <w:r>
                    <w:rPr>
                      <w:rFonts w:hint="default" w:ascii="Times New Roman" w:hAnsi="Times New Roman" w:eastAsia="宋体" w:cs="Times New Roman"/>
                      <w:color w:val="auto"/>
                      <w:sz w:val="21"/>
                      <w:szCs w:val="21"/>
                    </w:rPr>
                    <w:t>对周围保护目标影响均较小，均未超过各因子的环境质量标准。因此，项目排放的大气污染物对周围空气环境影响较小。</w:t>
                  </w:r>
                </w:p>
              </w:tc>
              <w:tc>
                <w:tcPr>
                  <w:tcW w:w="311" w:type="pct"/>
                  <w:tcBorders>
                    <w:tl2br w:val="nil"/>
                    <w:tr2bl w:val="nil"/>
                  </w:tcBorders>
                  <w:noWrap w:val="0"/>
                  <w:vAlign w:val="center"/>
                </w:tcPr>
                <w:p w14:paraId="64366FD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57F5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494" w:hRule="atLeast"/>
                <w:jc w:val="center"/>
              </w:trPr>
              <w:tc>
                <w:tcPr>
                  <w:tcW w:w="1010" w:type="pct"/>
                  <w:tcBorders>
                    <w:tl2br w:val="nil"/>
                    <w:tr2bl w:val="nil"/>
                  </w:tcBorders>
                  <w:noWrap w:val="0"/>
                  <w:vAlign w:val="center"/>
                </w:tcPr>
                <w:p w14:paraId="13F90CC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《关于全面加强生态环境保护坚决打好污染防治攻坚战的实施意见》</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苏发</w:t>
                  </w:r>
                  <w:r>
                    <w:rPr>
                      <w:rFonts w:hint="default" w:ascii="Times New Roman" w:hAnsi="Times New Roman" w:eastAsia="宋体" w:cs="Times New Roman"/>
                      <w:color w:val="auto"/>
                      <w:sz w:val="21"/>
                      <w:szCs w:val="21"/>
                      <w:lang w:eastAsia="zh-CN"/>
                    </w:rPr>
                    <w:t>〔2018〕24号）</w:t>
                  </w:r>
                </w:p>
              </w:tc>
              <w:tc>
                <w:tcPr>
                  <w:tcW w:w="2433" w:type="pct"/>
                  <w:tcBorders>
                    <w:tl2br w:val="nil"/>
                    <w:tr2bl w:val="nil"/>
                  </w:tcBorders>
                  <w:noWrap w:val="0"/>
                  <w:vAlign w:val="center"/>
                </w:tcPr>
                <w:p w14:paraId="7772D415">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严禁在长江干流及主要支流岸线1公里范围内新建布局化工园区和化工企业。严格化工项目环评审批，提高准入门槛，新建化工项目原则上投资额不得低于10亿元，不得新建、改建、扩建三类中间体项目。</w:t>
                  </w:r>
                </w:p>
              </w:tc>
              <w:tc>
                <w:tcPr>
                  <w:tcW w:w="1244" w:type="pct"/>
                  <w:tcBorders>
                    <w:tl2br w:val="nil"/>
                    <w:tr2bl w:val="nil"/>
                  </w:tcBorders>
                  <w:noWrap w:val="0"/>
                  <w:vAlign w:val="center"/>
                </w:tcPr>
                <w:p w14:paraId="6188F089">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本项目不属于化工企业。</w:t>
                  </w:r>
                </w:p>
              </w:tc>
              <w:tc>
                <w:tcPr>
                  <w:tcW w:w="311" w:type="pct"/>
                  <w:tcBorders>
                    <w:tl2br w:val="nil"/>
                    <w:tr2bl w:val="nil"/>
                  </w:tcBorders>
                  <w:noWrap w:val="0"/>
                  <w:vAlign w:val="center"/>
                </w:tcPr>
                <w:p w14:paraId="6E4B802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8958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918" w:hRule="atLeast"/>
                <w:jc w:val="center"/>
              </w:trPr>
              <w:tc>
                <w:tcPr>
                  <w:tcW w:w="1010" w:type="pct"/>
                  <w:tcBorders>
                    <w:tl2br w:val="nil"/>
                    <w:tr2bl w:val="nil"/>
                  </w:tcBorders>
                  <w:noWrap w:val="0"/>
                  <w:vAlign w:val="center"/>
                </w:tcPr>
                <w:p w14:paraId="2B8DEA6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《省政府关于印发江苏省国家级生态保护红线规划的通知》</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苏政发〔2018〕74号</w:t>
                  </w:r>
                  <w:r>
                    <w:rPr>
                      <w:rFonts w:hint="default" w:ascii="Times New Roman" w:hAnsi="Times New Roman" w:eastAsia="宋体" w:cs="Times New Roman"/>
                      <w:color w:val="auto"/>
                      <w:sz w:val="21"/>
                      <w:szCs w:val="21"/>
                      <w:lang w:eastAsia="zh-CN"/>
                    </w:rPr>
                    <w:t>）</w:t>
                  </w:r>
                </w:p>
              </w:tc>
              <w:tc>
                <w:tcPr>
                  <w:tcW w:w="2433" w:type="pct"/>
                  <w:tcBorders>
                    <w:tl2br w:val="nil"/>
                    <w:tr2bl w:val="nil"/>
                  </w:tcBorders>
                  <w:noWrap w:val="0"/>
                  <w:vAlign w:val="center"/>
                </w:tcPr>
                <w:p w14:paraId="7D3A7A9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生态保护红线原则上按禁止开发区域的要求进行管理，严禁不符合主体功能定位的各类开发活动，严禁任意改变用途。</w:t>
                  </w:r>
                </w:p>
              </w:tc>
              <w:tc>
                <w:tcPr>
                  <w:tcW w:w="1244" w:type="pct"/>
                  <w:tcBorders>
                    <w:tl2br w:val="nil"/>
                    <w:tr2bl w:val="nil"/>
                  </w:tcBorders>
                  <w:noWrap w:val="0"/>
                  <w:vAlign w:val="center"/>
                </w:tcPr>
                <w:p w14:paraId="6BBEC77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本项目不在生态保护红线内。</w:t>
                  </w:r>
                </w:p>
              </w:tc>
              <w:tc>
                <w:tcPr>
                  <w:tcW w:w="311" w:type="pct"/>
                  <w:tcBorders>
                    <w:tl2br w:val="nil"/>
                    <w:tr2bl w:val="nil"/>
                  </w:tcBorders>
                  <w:noWrap w:val="0"/>
                  <w:vAlign w:val="center"/>
                </w:tcPr>
                <w:p w14:paraId="052FA4B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AAF3F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670" w:hRule="atLeast"/>
                <w:jc w:val="center"/>
              </w:trPr>
              <w:tc>
                <w:tcPr>
                  <w:tcW w:w="1010" w:type="pct"/>
                  <w:tcBorders>
                    <w:tl2br w:val="nil"/>
                    <w:tr2bl w:val="nil"/>
                  </w:tcBorders>
                  <w:noWrap w:val="0"/>
                  <w:vAlign w:val="center"/>
                </w:tcPr>
                <w:p w14:paraId="1AF0C4D0">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推动长江经济带发展领导小组办公室关于印发《长江经济带发展负面清单指南（试行，2022年版）》的通知（长江办〔2022〕7号）</w:t>
                  </w:r>
                </w:p>
              </w:tc>
              <w:tc>
                <w:tcPr>
                  <w:tcW w:w="2433" w:type="pct"/>
                  <w:tcBorders>
                    <w:tl2br w:val="nil"/>
                    <w:tr2bl w:val="nil"/>
                  </w:tcBorders>
                  <w:noWrap w:val="0"/>
                  <w:vAlign w:val="center"/>
                </w:tcPr>
                <w:p w14:paraId="48C0651B">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建设不符合全国和省级港口布局规划以及港口总体规划的码头项目，禁止建设不符合《长江干线过江通道布局规划》的过长江通道项目。2.禁止在自然保护区核心区、缓冲区的岸线和河段范围内投资建设旅游和生产经营项目。禁止在风景名胜区核心景区的岸线和河段范围内投资建设与风景名胜资源保护无关的项目。3.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4.禁止在水产种质资源保护区的岸线和河段范围内新建围湖造田、围海造地或围填海等投资建设项目。禁止在国家湿地公园的岸线和河段范围内挖沙、采矿，以及任何不符合主体功能定位的投资建设项目。5.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6．禁止未经许可在长江</w:t>
                  </w:r>
                  <w:r>
                    <w:rPr>
                      <w:rFonts w:hint="default" w:ascii="Times New Roman" w:hAnsi="Times New Roman" w:eastAsia="宋体" w:cs="Times New Roman"/>
                      <w:color w:val="auto"/>
                      <w:sz w:val="21"/>
                      <w:szCs w:val="21"/>
                      <w:lang w:val="en-US" w:eastAsia="zh-CN"/>
                    </w:rPr>
                    <w:t>干支流</w:t>
                  </w:r>
                  <w:r>
                    <w:rPr>
                      <w:rFonts w:hint="default" w:ascii="Times New Roman" w:hAnsi="Times New Roman" w:eastAsia="宋体" w:cs="Times New Roman"/>
                      <w:color w:val="auto"/>
                      <w:sz w:val="21"/>
                      <w:szCs w:val="21"/>
                    </w:rPr>
                    <w:t>及湖泊新设、改设或扩大排污口。7．禁止在“一江一口两湖七河”和332个水生生物保护区开展生产性捕捞。8.禁止在长江</w:t>
                  </w:r>
                  <w:r>
                    <w:rPr>
                      <w:rFonts w:hint="default" w:ascii="Times New Roman" w:hAnsi="Times New Roman" w:eastAsia="宋体" w:cs="Times New Roman"/>
                      <w:color w:val="auto"/>
                      <w:sz w:val="21"/>
                      <w:szCs w:val="21"/>
                      <w:lang w:val="en-US" w:eastAsia="zh-CN"/>
                    </w:rPr>
                    <w:t>干</w:t>
                  </w:r>
                  <w:r>
                    <w:rPr>
                      <w:rFonts w:hint="default" w:ascii="Times New Roman" w:hAnsi="Times New Roman" w:eastAsia="宋体" w:cs="Times New Roman"/>
                      <w:color w:val="auto"/>
                      <w:sz w:val="21"/>
                      <w:szCs w:val="21"/>
                    </w:rPr>
                    <w:t>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9.禁止在合规园区外新建、扩建钢铁、石化、化工、焦化、建材、有色、制浆造纸等高污染项目。10.禁止新建、扩建不符合国家石化、现代煤化工等产业布局规划的项目。11.禁止新建、扩建法律法规和相关政策明令禁止的落后产能项目。禁止新建、扩建不符合国家产能置换要求的严重过剩产能行业的项目。禁止新建、扩建不符合要求的高耗能高排放项目。12，法律法规及相关政策文件有更加严格规定的从其规定。</w:t>
                  </w:r>
                </w:p>
              </w:tc>
              <w:tc>
                <w:tcPr>
                  <w:tcW w:w="1244" w:type="pct"/>
                  <w:tcBorders>
                    <w:tl2br w:val="nil"/>
                    <w:tr2bl w:val="nil"/>
                  </w:tcBorders>
                  <w:noWrap w:val="0"/>
                  <w:vAlign w:val="center"/>
                </w:tcPr>
                <w:p w14:paraId="169AA108">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本项目不属于禁止建设项目。</w:t>
                  </w:r>
                </w:p>
              </w:tc>
              <w:tc>
                <w:tcPr>
                  <w:tcW w:w="311" w:type="pct"/>
                  <w:tcBorders>
                    <w:tl2br w:val="nil"/>
                    <w:tr2bl w:val="nil"/>
                  </w:tcBorders>
                  <w:noWrap w:val="0"/>
                  <w:vAlign w:val="center"/>
                </w:tcPr>
                <w:p w14:paraId="42F6029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49C20D87">
            <w:pPr>
              <w:keepNext w:val="0"/>
              <w:keepLines w:val="0"/>
              <w:pageBreakBefore w:val="0"/>
              <w:widowControl w:val="0"/>
              <w:kinsoku/>
              <w:wordWrap/>
              <w:overflowPunct/>
              <w:topLinePunct w:val="0"/>
              <w:autoSpaceDE w:val="0"/>
              <w:autoSpaceDN w:val="0"/>
              <w:bidi w:val="0"/>
              <w:adjustRightInd w:val="0"/>
              <w:snapToGrid w:val="0"/>
              <w:spacing w:line="480" w:lineRule="exact"/>
              <w:jc w:val="left"/>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8、与《长江经济带发展负面清单指南（试行，2022年版）》相符性分析</w:t>
            </w:r>
          </w:p>
          <w:p w14:paraId="3DA6CD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表1-</w:t>
            </w:r>
            <w:r>
              <w:rPr>
                <w:rFonts w:hint="eastAsia" w:cs="Times New Roman"/>
                <w:b/>
                <w:bCs/>
                <w:color w:val="auto"/>
                <w:kern w:val="0"/>
                <w:sz w:val="21"/>
                <w:szCs w:val="21"/>
                <w:highlight w:val="none"/>
                <w:lang w:val="en-US" w:eastAsia="zh-CN"/>
              </w:rPr>
              <w:t>9</w:t>
            </w:r>
            <w:r>
              <w:rPr>
                <w:rFonts w:hint="default" w:ascii="Times New Roman" w:hAnsi="Times New Roman" w:eastAsia="宋体" w:cs="Times New Roman"/>
                <w:b/>
                <w:bCs/>
                <w:color w:val="auto"/>
                <w:kern w:val="0"/>
                <w:sz w:val="21"/>
                <w:szCs w:val="21"/>
                <w:highlight w:val="none"/>
              </w:rPr>
              <w:t xml:space="preserve"> 与《长江经济带发展负面清单指南（试行，2022年版）》相符性分析</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5851"/>
              <w:gridCol w:w="2836"/>
              <w:gridCol w:w="578"/>
            </w:tblGrid>
            <w:tr w14:paraId="3F53B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6BBAF9F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要求</w:t>
                  </w:r>
                </w:p>
              </w:tc>
              <w:tc>
                <w:tcPr>
                  <w:tcW w:w="1530" w:type="pct"/>
                  <w:tcBorders>
                    <w:tl2br w:val="nil"/>
                    <w:tr2bl w:val="nil"/>
                  </w:tcBorders>
                  <w:noWrap w:val="0"/>
                  <w:vAlign w:val="center"/>
                </w:tcPr>
                <w:p w14:paraId="7351829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本项目</w:t>
                  </w:r>
                </w:p>
              </w:tc>
              <w:tc>
                <w:tcPr>
                  <w:tcW w:w="312" w:type="pct"/>
                  <w:tcBorders>
                    <w:tl2br w:val="nil"/>
                    <w:tr2bl w:val="nil"/>
                  </w:tcBorders>
                  <w:noWrap w:val="0"/>
                  <w:vAlign w:val="center"/>
                </w:tcPr>
                <w:p w14:paraId="4CCBFA0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相符性</w:t>
                  </w:r>
                </w:p>
              </w:tc>
            </w:tr>
            <w:tr w14:paraId="13CAB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7EDC692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禁止建设不符合全国和省级港口布局规划以及港口总体规划的码头项目，禁止建设不符合《长江</w:t>
                  </w:r>
                  <w:r>
                    <w:rPr>
                      <w:rFonts w:hint="eastAsia" w:cs="Times New Roman"/>
                      <w:color w:val="auto"/>
                      <w:sz w:val="21"/>
                      <w:szCs w:val="21"/>
                      <w:lang w:val="en-US" w:eastAsia="zh-CN"/>
                    </w:rPr>
                    <w:t>干</w:t>
                  </w:r>
                  <w:r>
                    <w:rPr>
                      <w:rFonts w:hint="default" w:ascii="Times New Roman" w:hAnsi="Times New Roman" w:eastAsia="宋体" w:cs="Times New Roman"/>
                      <w:color w:val="auto"/>
                      <w:sz w:val="21"/>
                      <w:szCs w:val="21"/>
                    </w:rPr>
                    <w:t>线过江通道布局规划》的过长江通道项目。</w:t>
                  </w:r>
                </w:p>
              </w:tc>
              <w:tc>
                <w:tcPr>
                  <w:tcW w:w="1530" w:type="pct"/>
                  <w:tcBorders>
                    <w:tl2br w:val="nil"/>
                    <w:tr2bl w:val="nil"/>
                  </w:tcBorders>
                  <w:noWrap w:val="0"/>
                  <w:vAlign w:val="center"/>
                </w:tcPr>
                <w:p w14:paraId="7C7EA1B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，不属于码头项目、长江通道项目</w:t>
                  </w:r>
                </w:p>
              </w:tc>
              <w:tc>
                <w:tcPr>
                  <w:tcW w:w="312" w:type="pct"/>
                  <w:tcBorders>
                    <w:tl2br w:val="nil"/>
                    <w:tr2bl w:val="nil"/>
                  </w:tcBorders>
                  <w:noWrap w:val="0"/>
                  <w:vAlign w:val="center"/>
                </w:tcPr>
                <w:p w14:paraId="1DE25FD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75E5F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317A0A7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禁止在自然保护区核心区、缓冲区的岸线和河段范围内投资建设旅游和生产经营项目。禁止在风景名胜区核心景区的岸线和河段范围内投资建设与风景名胜资源保护无关的项目。</w:t>
                  </w:r>
                </w:p>
              </w:tc>
              <w:tc>
                <w:tcPr>
                  <w:tcW w:w="1530" w:type="pct"/>
                  <w:tcBorders>
                    <w:tl2br w:val="nil"/>
                    <w:tr2bl w:val="nil"/>
                  </w:tcBorders>
                  <w:noWrap w:val="0"/>
                  <w:vAlign w:val="center"/>
                </w:tcPr>
                <w:p w14:paraId="4B0D6E3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2" w:type="pct"/>
                  <w:tcBorders>
                    <w:tl2br w:val="nil"/>
                    <w:tr2bl w:val="nil"/>
                  </w:tcBorders>
                  <w:noWrap w:val="0"/>
                  <w:vAlign w:val="center"/>
                </w:tcPr>
                <w:p w14:paraId="052B845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7A6E1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0AEB59A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530" w:type="pct"/>
                  <w:tcBorders>
                    <w:tl2br w:val="nil"/>
                    <w:tr2bl w:val="nil"/>
                  </w:tcBorders>
                  <w:noWrap w:val="0"/>
                  <w:vAlign w:val="center"/>
                </w:tcPr>
                <w:p w14:paraId="7CFEAC1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，不位于饮用水水源一级与二级保护区的岸线和河段范围内</w:t>
                  </w:r>
                </w:p>
              </w:tc>
              <w:tc>
                <w:tcPr>
                  <w:tcW w:w="312" w:type="pct"/>
                  <w:tcBorders>
                    <w:tl2br w:val="nil"/>
                    <w:tr2bl w:val="nil"/>
                  </w:tcBorders>
                  <w:noWrap w:val="0"/>
                  <w:vAlign w:val="center"/>
                </w:tcPr>
                <w:p w14:paraId="0B8E400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496BC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52BE1D5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530" w:type="pct"/>
                  <w:tcBorders>
                    <w:tl2br w:val="nil"/>
                    <w:tr2bl w:val="nil"/>
                  </w:tcBorders>
                  <w:noWrap w:val="0"/>
                  <w:vAlign w:val="center"/>
                </w:tcPr>
                <w:p w14:paraId="78B35FC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2" w:type="pct"/>
                  <w:tcBorders>
                    <w:tl2br w:val="nil"/>
                    <w:tr2bl w:val="nil"/>
                  </w:tcBorders>
                  <w:noWrap w:val="0"/>
                  <w:vAlign w:val="center"/>
                </w:tcPr>
                <w:p w14:paraId="6ADB517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3D4B0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5DDBFC04">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530" w:type="pct"/>
                  <w:tcBorders>
                    <w:tl2br w:val="nil"/>
                    <w:tr2bl w:val="nil"/>
                  </w:tcBorders>
                  <w:noWrap w:val="0"/>
                  <w:vAlign w:val="center"/>
                </w:tcPr>
                <w:p w14:paraId="34D130A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2" w:type="pct"/>
                  <w:tcBorders>
                    <w:tl2br w:val="nil"/>
                    <w:tr2bl w:val="nil"/>
                  </w:tcBorders>
                  <w:noWrap w:val="0"/>
                  <w:vAlign w:val="center"/>
                </w:tcPr>
                <w:p w14:paraId="26B2C08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56CFF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3DD96284">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禁止未经许可在长江干支流及湖泊新设、改设或扩大排污口。</w:t>
                  </w:r>
                </w:p>
              </w:tc>
              <w:tc>
                <w:tcPr>
                  <w:tcW w:w="1530" w:type="pct"/>
                  <w:tcBorders>
                    <w:tl2br w:val="nil"/>
                    <w:tr2bl w:val="nil"/>
                  </w:tcBorders>
                  <w:noWrap w:val="0"/>
                  <w:vAlign w:val="center"/>
                </w:tcPr>
                <w:p w14:paraId="16556A6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312" w:type="pct"/>
                  <w:tcBorders>
                    <w:tl2br w:val="nil"/>
                    <w:tr2bl w:val="nil"/>
                  </w:tcBorders>
                  <w:noWrap w:val="0"/>
                  <w:vAlign w:val="center"/>
                </w:tcPr>
                <w:p w14:paraId="6806D3E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r w14:paraId="2E80F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4594A55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禁止在“一江一口两湖七河”和332个水生生物保护区开展生产性捕捞。</w:t>
                  </w:r>
                </w:p>
              </w:tc>
              <w:tc>
                <w:tcPr>
                  <w:tcW w:w="1530" w:type="pct"/>
                  <w:tcBorders>
                    <w:tl2br w:val="nil"/>
                    <w:tr2bl w:val="nil"/>
                  </w:tcBorders>
                  <w:noWrap w:val="0"/>
                  <w:vAlign w:val="center"/>
                </w:tcPr>
                <w:p w14:paraId="2799AF7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312" w:type="pct"/>
                  <w:tcBorders>
                    <w:tl2br w:val="nil"/>
                    <w:tr2bl w:val="nil"/>
                  </w:tcBorders>
                  <w:noWrap w:val="0"/>
                  <w:vAlign w:val="center"/>
                </w:tcPr>
                <w:p w14:paraId="6CB2BC9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bl>
          <w:p w14:paraId="3921A090">
            <w:pPr>
              <w:keepNext w:val="0"/>
              <w:keepLines w:val="0"/>
              <w:pageBreakBefore w:val="0"/>
              <w:widowControl w:val="0"/>
              <w:kinsoku/>
              <w:wordWrap/>
              <w:overflowPunct/>
              <w:topLinePunct w:val="0"/>
              <w:autoSpaceDE w:val="0"/>
              <w:autoSpaceDN w:val="0"/>
              <w:bidi w:val="0"/>
              <w:adjustRightInd w:val="0"/>
              <w:snapToGrid w:val="0"/>
              <w:spacing w:line="480" w:lineRule="exact"/>
              <w:jc w:val="left"/>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4"/>
                <w:szCs w:val="24"/>
                <w:lang w:val="en-US" w:eastAsia="zh-CN"/>
              </w:rPr>
              <w:t>9、与《江苏省“十四五”长江经济带发展负面清单指南（试行，2022年版）江苏省实施细则》（苏长江办发〔2022〕55号文）相符性分析</w:t>
            </w:r>
          </w:p>
          <w:p w14:paraId="2461F4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表1-</w:t>
            </w:r>
            <w:r>
              <w:rPr>
                <w:rFonts w:hint="default" w:ascii="Times New Roman" w:hAnsi="Times New Roman" w:eastAsia="宋体" w:cs="Times New Roman"/>
                <w:b/>
                <w:bCs/>
                <w:color w:val="auto"/>
                <w:kern w:val="0"/>
                <w:sz w:val="21"/>
                <w:szCs w:val="21"/>
                <w:highlight w:val="none"/>
                <w:lang w:val="en-US" w:eastAsia="zh-CN"/>
              </w:rPr>
              <w:t>1</w:t>
            </w:r>
            <w:r>
              <w:rPr>
                <w:rFonts w:hint="eastAsia" w:cs="Times New Roman"/>
                <w:b/>
                <w:bCs/>
                <w:color w:val="auto"/>
                <w:kern w:val="0"/>
                <w:sz w:val="21"/>
                <w:szCs w:val="21"/>
                <w:highlight w:val="none"/>
                <w:lang w:val="en-US" w:eastAsia="zh-CN"/>
              </w:rPr>
              <w:t>0</w:t>
            </w:r>
            <w:r>
              <w:rPr>
                <w:rFonts w:hint="default" w:ascii="Times New Roman" w:hAnsi="Times New Roman" w:eastAsia="宋体" w:cs="Times New Roman"/>
                <w:b/>
                <w:bCs/>
                <w:color w:val="auto"/>
                <w:kern w:val="0"/>
                <w:sz w:val="21"/>
                <w:szCs w:val="21"/>
                <w:highlight w:val="none"/>
              </w:rPr>
              <w:t xml:space="preserve"> 与苏长江办发〔2022〕55号文相符性分析</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5852"/>
              <w:gridCol w:w="2836"/>
              <w:gridCol w:w="577"/>
            </w:tblGrid>
            <w:tr w14:paraId="78582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157" w:type="pct"/>
                  <w:tcBorders>
                    <w:tl2br w:val="nil"/>
                    <w:tr2bl w:val="nil"/>
                  </w:tcBorders>
                  <w:noWrap w:val="0"/>
                  <w:vAlign w:val="center"/>
                </w:tcPr>
                <w:p w14:paraId="0990F87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要求</w:t>
                  </w:r>
                </w:p>
              </w:tc>
              <w:tc>
                <w:tcPr>
                  <w:tcW w:w="1530" w:type="pct"/>
                  <w:tcBorders>
                    <w:tl2br w:val="nil"/>
                    <w:tr2bl w:val="nil"/>
                  </w:tcBorders>
                  <w:noWrap w:val="0"/>
                  <w:vAlign w:val="center"/>
                </w:tcPr>
                <w:p w14:paraId="70C6B24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本项目</w:t>
                  </w:r>
                </w:p>
              </w:tc>
              <w:tc>
                <w:tcPr>
                  <w:tcW w:w="311" w:type="pct"/>
                  <w:tcBorders>
                    <w:tl2br w:val="nil"/>
                    <w:tr2bl w:val="nil"/>
                  </w:tcBorders>
                  <w:noWrap w:val="0"/>
                  <w:vAlign w:val="center"/>
                </w:tcPr>
                <w:p w14:paraId="32CB411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相符性</w:t>
                  </w:r>
                </w:p>
              </w:tc>
            </w:tr>
            <w:tr w14:paraId="1D841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7B13104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禁止建设不符合国家港口布局规划和《江苏省沿江沿海港口布局规划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2015-2030年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》《江苏省内河港口布局规划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2017-2035年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》以及我省有关港口总体规划的码头项目，禁止建设未纳入《长江于线过江通道布局规划》的过长江通道项目</w:t>
                  </w:r>
                  <w:r>
                    <w:rPr>
                      <w:rFonts w:hint="default" w:ascii="Times New Roman" w:hAnsi="Times New Roman" w:eastAsia="宋体" w:cs="Times New Roman"/>
                      <w:color w:val="auto"/>
                      <w:sz w:val="21"/>
                      <w:szCs w:val="21"/>
                      <w:lang w:eastAsia="zh-CN"/>
                    </w:rPr>
                    <w:t>。</w:t>
                  </w:r>
                </w:p>
              </w:tc>
              <w:tc>
                <w:tcPr>
                  <w:tcW w:w="1530" w:type="pct"/>
                  <w:tcBorders>
                    <w:tl2br w:val="nil"/>
                    <w:tr2bl w:val="nil"/>
                  </w:tcBorders>
                  <w:noWrap w:val="0"/>
                  <w:vAlign w:val="center"/>
                </w:tcPr>
                <w:p w14:paraId="443C0D6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，不属于码头项目、</w:t>
                  </w:r>
                  <w:r>
                    <w:rPr>
                      <w:rFonts w:hint="default" w:ascii="Times New Roman" w:hAnsi="Times New Roman" w:eastAsia="宋体" w:cs="Times New Roman"/>
                      <w:color w:val="auto"/>
                      <w:sz w:val="21"/>
                      <w:szCs w:val="21"/>
                      <w:lang w:val="en-US" w:eastAsia="zh-CN"/>
                    </w:rPr>
                    <w:t>过</w:t>
                  </w:r>
                  <w:r>
                    <w:rPr>
                      <w:rFonts w:hint="default" w:ascii="Times New Roman" w:hAnsi="Times New Roman" w:eastAsia="宋体" w:cs="Times New Roman"/>
                      <w:color w:val="auto"/>
                      <w:sz w:val="21"/>
                      <w:szCs w:val="21"/>
                    </w:rPr>
                    <w:t>长江通道项目</w:t>
                  </w:r>
                </w:p>
              </w:tc>
              <w:tc>
                <w:tcPr>
                  <w:tcW w:w="311" w:type="pct"/>
                  <w:tcBorders>
                    <w:tl2br w:val="nil"/>
                    <w:tr2bl w:val="nil"/>
                  </w:tcBorders>
                  <w:noWrap w:val="0"/>
                  <w:vAlign w:val="center"/>
                </w:tcPr>
                <w:p w14:paraId="14A63E1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35E0EB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4A36AE1E">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严格执行《中华人民共和国自然保护区条例》，禁止在自然保护区核心区、缓冲区的岸线和河段范围内投资建设旅游和生产经营项目。严格执行《风景名胜区条例》《江苏省风景名胜区管理条例》，禁止在国家级和省级风景名胜区核心景区的岸线和河段范围内投资建设与风景名胜资源保护无关的项目。自然保护区、风景名胜区由省林业局会同有关方面界定并落实管控责任</w:t>
                  </w:r>
                  <w:r>
                    <w:rPr>
                      <w:rFonts w:hint="default" w:ascii="Times New Roman" w:hAnsi="Times New Roman" w:eastAsia="宋体" w:cs="Times New Roman"/>
                      <w:color w:val="auto"/>
                      <w:sz w:val="21"/>
                      <w:szCs w:val="21"/>
                      <w:lang w:eastAsia="zh-CN"/>
                    </w:rPr>
                    <w:t>。</w:t>
                  </w:r>
                </w:p>
              </w:tc>
              <w:tc>
                <w:tcPr>
                  <w:tcW w:w="1530" w:type="pct"/>
                  <w:tcBorders>
                    <w:tl2br w:val="nil"/>
                    <w:tr2bl w:val="nil"/>
                  </w:tcBorders>
                  <w:noWrap w:val="0"/>
                  <w:vAlign w:val="center"/>
                </w:tcPr>
                <w:p w14:paraId="1D953B3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1" w:type="pct"/>
                  <w:tcBorders>
                    <w:tl2br w:val="nil"/>
                    <w:tr2bl w:val="nil"/>
                  </w:tcBorders>
                  <w:noWrap w:val="0"/>
                  <w:vAlign w:val="center"/>
                </w:tcPr>
                <w:p w14:paraId="2FBBB9C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2DFC85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10A899F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严格执行《中华人民共和国水污染防治法》《江苏省人民代表大会常务委员会关于加强饮用水源地保护的决定》《江苏省水污染防治条例》，禁止在饮用水水源一级保护区的岸线和河段范围内新建、改建、扩建与供水设施和保护水源无关的项目以及网箱养殖、畜禽养殖、旅游等可能污染饮用水水体的投资建设项目</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禁止在饮用水水源二级保护区的岸线和河段范围内新建改建、扩建排放污染物的投资建设项目</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禁止在饮用水水源准保护区的岸线和河段范围内新建、扩建对水体污染严重的投资建设项目，改建项目应当消减排污量。饮用水水源一级保护区、二级保护区、准保护区由省生态环境厅会同水利等有关方面界定并落实管控责任。</w:t>
                  </w:r>
                </w:p>
              </w:tc>
              <w:tc>
                <w:tcPr>
                  <w:tcW w:w="1530" w:type="pct"/>
                  <w:tcBorders>
                    <w:tl2br w:val="nil"/>
                    <w:tr2bl w:val="nil"/>
                  </w:tcBorders>
                  <w:noWrap w:val="0"/>
                  <w:vAlign w:val="center"/>
                </w:tcPr>
                <w:p w14:paraId="47C230C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，不位于饮用水水源一级与二级保护区的岸线和河段范围内</w:t>
                  </w:r>
                </w:p>
              </w:tc>
              <w:tc>
                <w:tcPr>
                  <w:tcW w:w="311" w:type="pct"/>
                  <w:tcBorders>
                    <w:tl2br w:val="nil"/>
                    <w:tr2bl w:val="nil"/>
                  </w:tcBorders>
                  <w:noWrap w:val="0"/>
                  <w:vAlign w:val="center"/>
                </w:tcPr>
                <w:p w14:paraId="52C6064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3FBA3F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5E1190A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严格执行《水产种质资源保护区管理暂行办法》，禁止在国家级和省级水产种质资源保护区的岸线和河段范围内新建围湖造田、围海造地或围填海等投资建设项目。严格执行《中华人民共和国湿地保护法》《江苏省湿地保护条例》，禁止在国家湿地公园的岸线和河段范围内挖沙、采矿，以及任何不符合主体功能定位的投资建设项目。水产种质资源保护区、国家湿地公园分别由省农业农村厅、省林业局会同有关方面界定并落实管控责任</w:t>
                  </w:r>
                </w:p>
              </w:tc>
              <w:tc>
                <w:tcPr>
                  <w:tcW w:w="1530" w:type="pct"/>
                  <w:tcBorders>
                    <w:tl2br w:val="nil"/>
                    <w:tr2bl w:val="nil"/>
                  </w:tcBorders>
                  <w:noWrap w:val="0"/>
                  <w:vAlign w:val="center"/>
                </w:tcPr>
                <w:p w14:paraId="3009FB3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1" w:type="pct"/>
                  <w:tcBorders>
                    <w:tl2br w:val="nil"/>
                    <w:tr2bl w:val="nil"/>
                  </w:tcBorders>
                  <w:noWrap w:val="0"/>
                  <w:vAlign w:val="center"/>
                </w:tcPr>
                <w:p w14:paraId="0D675DC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36C34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3C460DA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长江干支流基础设施项目应按照《长江岸线保护和开发利用总体规划》和生态环境保护、岸线保护等要求，按规定开展项目前期论证并办理相关手续。禁止在《全国重要江河湖泊水功能区划》划定的河段及湖泊保护区、保留区内投资建设不利于水资源及自然生态保护的项目。</w:t>
                  </w:r>
                </w:p>
              </w:tc>
              <w:tc>
                <w:tcPr>
                  <w:tcW w:w="1530" w:type="pct"/>
                  <w:tcBorders>
                    <w:tl2br w:val="nil"/>
                    <w:tr2bl w:val="nil"/>
                  </w:tcBorders>
                  <w:noWrap w:val="0"/>
                  <w:vAlign w:val="center"/>
                </w:tcPr>
                <w:p w14:paraId="36DB084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color w:val="auto"/>
                      <w:sz w:val="21"/>
                      <w:szCs w:val="21"/>
                      <w:lang w:eastAsia="zh-CN"/>
                    </w:rPr>
                    <w:t>江苏省常州市金坛区儒园路1号</w:t>
                  </w:r>
                  <w:r>
                    <w:rPr>
                      <w:rFonts w:hint="default" w:ascii="Times New Roman" w:hAnsi="Times New Roman" w:eastAsia="宋体" w:cs="Times New Roman"/>
                      <w:color w:val="auto"/>
                      <w:sz w:val="21"/>
                      <w:szCs w:val="21"/>
                    </w:rPr>
                    <w:t>，不位于政策所述区域</w:t>
                  </w:r>
                </w:p>
              </w:tc>
              <w:tc>
                <w:tcPr>
                  <w:tcW w:w="311" w:type="pct"/>
                  <w:tcBorders>
                    <w:tl2br w:val="nil"/>
                    <w:tr2bl w:val="nil"/>
                  </w:tcBorders>
                  <w:noWrap w:val="0"/>
                  <w:vAlign w:val="center"/>
                </w:tcPr>
                <w:p w14:paraId="27F6A90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66B93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061C87A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禁止未经许可在长江</w:t>
                  </w:r>
                  <w:r>
                    <w:rPr>
                      <w:rFonts w:hint="eastAsia" w:cs="Times New Roman"/>
                      <w:color w:val="auto"/>
                      <w:sz w:val="21"/>
                      <w:szCs w:val="21"/>
                      <w:lang w:eastAsia="zh-CN"/>
                    </w:rPr>
                    <w:t>干支流</w:t>
                  </w:r>
                  <w:r>
                    <w:rPr>
                      <w:rFonts w:hint="default" w:ascii="Times New Roman" w:hAnsi="Times New Roman" w:eastAsia="宋体" w:cs="Times New Roman"/>
                      <w:color w:val="auto"/>
                      <w:sz w:val="21"/>
                      <w:szCs w:val="21"/>
                    </w:rPr>
                    <w:t>及湖泊新设、改设或扩大排污口</w:t>
                  </w:r>
                  <w:r>
                    <w:rPr>
                      <w:rFonts w:hint="default" w:ascii="Times New Roman" w:hAnsi="Times New Roman" w:eastAsia="宋体" w:cs="Times New Roman"/>
                      <w:color w:val="auto"/>
                      <w:sz w:val="21"/>
                      <w:szCs w:val="21"/>
                      <w:lang w:eastAsia="zh-CN"/>
                    </w:rPr>
                    <w:t>。</w:t>
                  </w:r>
                </w:p>
              </w:tc>
              <w:tc>
                <w:tcPr>
                  <w:tcW w:w="1530" w:type="pct"/>
                  <w:tcBorders>
                    <w:tl2br w:val="nil"/>
                    <w:tr2bl w:val="nil"/>
                  </w:tcBorders>
                  <w:noWrap w:val="0"/>
                  <w:vAlign w:val="center"/>
                </w:tcPr>
                <w:p w14:paraId="1C2DE87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本项目不涉及</w:t>
                  </w:r>
                </w:p>
              </w:tc>
              <w:tc>
                <w:tcPr>
                  <w:tcW w:w="311" w:type="pct"/>
                  <w:tcBorders>
                    <w:tl2br w:val="nil"/>
                    <w:tr2bl w:val="nil"/>
                  </w:tcBorders>
                  <w:noWrap w:val="0"/>
                  <w:vAlign w:val="center"/>
                </w:tcPr>
                <w:p w14:paraId="3E205D0E">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30DDA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3157" w:type="pct"/>
                  <w:tcBorders>
                    <w:tl2br w:val="nil"/>
                    <w:tr2bl w:val="nil"/>
                  </w:tcBorders>
                  <w:noWrap w:val="0"/>
                  <w:vAlign w:val="center"/>
                </w:tcPr>
                <w:p w14:paraId="5AC4E98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禁止长江干流、长江口、34个列入《率先全面禁捕的长江流域水生生物保护区名录》的水生生物保护区以及省规定的其它禁渔水域开展生产性捕捞。</w:t>
                  </w:r>
                </w:p>
              </w:tc>
              <w:tc>
                <w:tcPr>
                  <w:tcW w:w="1530" w:type="pct"/>
                  <w:tcBorders>
                    <w:tl2br w:val="nil"/>
                    <w:tr2bl w:val="nil"/>
                  </w:tcBorders>
                  <w:noWrap w:val="0"/>
                  <w:vAlign w:val="center"/>
                </w:tcPr>
                <w:p w14:paraId="6B08832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本项目不涉及</w:t>
                  </w:r>
                </w:p>
              </w:tc>
              <w:tc>
                <w:tcPr>
                  <w:tcW w:w="311" w:type="pct"/>
                  <w:tcBorders>
                    <w:tl2br w:val="nil"/>
                    <w:tr2bl w:val="nil"/>
                  </w:tcBorders>
                  <w:noWrap w:val="0"/>
                  <w:vAlign w:val="center"/>
                </w:tcPr>
                <w:p w14:paraId="21E7778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4B58A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0A3FD74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禁止在距离长江</w:t>
                  </w:r>
                  <w:r>
                    <w:rPr>
                      <w:rFonts w:hint="eastAsia" w:cs="Times New Roman"/>
                      <w:color w:val="auto"/>
                      <w:sz w:val="21"/>
                      <w:szCs w:val="21"/>
                      <w:lang w:eastAsia="zh-CN"/>
                    </w:rPr>
                    <w:t>干支流</w:t>
                  </w:r>
                  <w:r>
                    <w:rPr>
                      <w:rFonts w:hint="default" w:ascii="Times New Roman" w:hAnsi="Times New Roman" w:eastAsia="宋体" w:cs="Times New Roman"/>
                      <w:color w:val="auto"/>
                      <w:sz w:val="21"/>
                      <w:szCs w:val="21"/>
                    </w:rPr>
                    <w:t>岸线一公里范围内新建、扩建化工园区和化工项目。长江干支流一公里按照长江</w:t>
                  </w:r>
                  <w:r>
                    <w:rPr>
                      <w:rFonts w:hint="eastAsia" w:cs="Times New Roman"/>
                      <w:color w:val="auto"/>
                      <w:sz w:val="21"/>
                      <w:szCs w:val="21"/>
                      <w:lang w:eastAsia="zh-CN"/>
                    </w:rPr>
                    <w:t>干支流</w:t>
                  </w:r>
                  <w:r>
                    <w:rPr>
                      <w:rFonts w:hint="default" w:ascii="Times New Roman" w:hAnsi="Times New Roman" w:eastAsia="宋体" w:cs="Times New Roman"/>
                      <w:color w:val="auto"/>
                      <w:sz w:val="21"/>
                      <w:szCs w:val="21"/>
                    </w:rPr>
                    <w:t>岸线边界</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即水利部门河道管理范围边界</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向陆域纵深一公里执行。</w:t>
                  </w:r>
                </w:p>
              </w:tc>
              <w:tc>
                <w:tcPr>
                  <w:tcW w:w="2836" w:type="dxa"/>
                  <w:tcBorders>
                    <w:tl2br w:val="nil"/>
                    <w:tr2bl w:val="nil"/>
                  </w:tcBorders>
                  <w:noWrap w:val="0"/>
                  <w:vAlign w:val="center"/>
                </w:tcPr>
                <w:p w14:paraId="6827547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2600A3CE">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4CFAC8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7BDF4E7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禁止在长江干流岸线三公里范围内新建、改建、扩建尾矿库、冶炼渣库和磷石膏库，以提升安全、生态环境保护水平为目的的改建除外。</w:t>
                  </w:r>
                </w:p>
              </w:tc>
              <w:tc>
                <w:tcPr>
                  <w:tcW w:w="2836" w:type="dxa"/>
                  <w:tcBorders>
                    <w:tl2br w:val="nil"/>
                    <w:tr2bl w:val="nil"/>
                  </w:tcBorders>
                  <w:noWrap w:val="0"/>
                  <w:vAlign w:val="center"/>
                </w:tcPr>
                <w:p w14:paraId="3B70063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59C4127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6E95B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3DBABA6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禁止在太湖流域一、二、三级保护区内开展《江苏省太湖水污染防治条例》禁止的投资建设活动。</w:t>
                  </w:r>
                </w:p>
              </w:tc>
              <w:tc>
                <w:tcPr>
                  <w:tcW w:w="2836" w:type="dxa"/>
                  <w:tcBorders>
                    <w:tl2br w:val="nil"/>
                    <w:tr2bl w:val="nil"/>
                  </w:tcBorders>
                  <w:noWrap w:val="0"/>
                  <w:vAlign w:val="center"/>
                </w:tcPr>
                <w:p w14:paraId="01FBBD81">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367079C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7DC22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60A76FE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禁止在沿江地区新建、扩建未纳入国家和省布局规划的燃煤发电项目。</w:t>
                  </w:r>
                </w:p>
              </w:tc>
              <w:tc>
                <w:tcPr>
                  <w:tcW w:w="2836" w:type="dxa"/>
                  <w:tcBorders>
                    <w:tl2br w:val="nil"/>
                    <w:tr2bl w:val="nil"/>
                  </w:tcBorders>
                  <w:noWrap w:val="0"/>
                  <w:vAlign w:val="center"/>
                </w:tcPr>
                <w:p w14:paraId="642CAA0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，不属于燃煤发电项目</w:t>
                  </w:r>
                </w:p>
              </w:tc>
              <w:tc>
                <w:tcPr>
                  <w:tcW w:w="577" w:type="dxa"/>
                  <w:tcBorders>
                    <w:tl2br w:val="nil"/>
                    <w:tr2bl w:val="nil"/>
                  </w:tcBorders>
                  <w:noWrap w:val="0"/>
                  <w:vAlign w:val="center"/>
                </w:tcPr>
                <w:p w14:paraId="5DFA3D1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473EC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662346FE">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禁止在合规园区外新建、扩建钢铁、石化、化工、焦化、建材、有色、制浆造纸等高污染项目。合规园区名录按照《</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长江经济带发展负面清单指南</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试行，2022年版</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&gt;江苏省实施细则合规园区名录》执行。</w:t>
                  </w:r>
                </w:p>
              </w:tc>
              <w:tc>
                <w:tcPr>
                  <w:tcW w:w="2836" w:type="dxa"/>
                  <w:tcBorders>
                    <w:tl2br w:val="nil"/>
                    <w:tr2bl w:val="nil"/>
                  </w:tcBorders>
                  <w:noWrap w:val="0"/>
                  <w:vAlign w:val="center"/>
                </w:tcPr>
                <w:p w14:paraId="222BBBB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w:t>
                  </w:r>
                  <w:r>
                    <w:rPr>
                      <w:rFonts w:hint="default" w:ascii="Times New Roman" w:hAnsi="Times New Roman" w:eastAsia="宋体" w:cs="Times New Roman"/>
                      <w:color w:val="auto"/>
                      <w:sz w:val="21"/>
                      <w:szCs w:val="21"/>
                      <w:lang w:val="en-US" w:eastAsia="zh-CN"/>
                    </w:rPr>
                    <w:t>高污染项目</w:t>
                  </w:r>
                </w:p>
              </w:tc>
              <w:tc>
                <w:tcPr>
                  <w:tcW w:w="577" w:type="dxa"/>
                  <w:tcBorders>
                    <w:tl2br w:val="nil"/>
                    <w:tr2bl w:val="nil"/>
                  </w:tcBorders>
                  <w:noWrap w:val="0"/>
                  <w:vAlign w:val="center"/>
                </w:tcPr>
                <w:p w14:paraId="23BA926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7B34F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7AA7B49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禁止在取</w:t>
                  </w:r>
                  <w:r>
                    <w:rPr>
                      <w:rFonts w:hint="default" w:ascii="Times New Roman" w:hAnsi="Times New Roman" w:eastAsia="宋体" w:cs="Times New Roman"/>
                      <w:color w:val="auto"/>
                      <w:sz w:val="21"/>
                      <w:szCs w:val="21"/>
                      <w:lang w:eastAsia="zh-CN"/>
                    </w:rPr>
                    <w:t>搅拌</w:t>
                  </w:r>
                  <w:r>
                    <w:rPr>
                      <w:rFonts w:hint="default" w:ascii="Times New Roman" w:hAnsi="Times New Roman" w:eastAsia="宋体" w:cs="Times New Roman"/>
                      <w:color w:val="auto"/>
                      <w:sz w:val="21"/>
                      <w:szCs w:val="21"/>
                    </w:rPr>
                    <w:t>工定位的园区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集中区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内新建化工项目。</w:t>
                  </w:r>
                </w:p>
              </w:tc>
              <w:tc>
                <w:tcPr>
                  <w:tcW w:w="2836" w:type="dxa"/>
                  <w:tcBorders>
                    <w:tl2br w:val="nil"/>
                    <w:tr2bl w:val="nil"/>
                  </w:tcBorders>
                  <w:noWrap w:val="0"/>
                  <w:vAlign w:val="center"/>
                </w:tcPr>
                <w:p w14:paraId="5C44E7E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w:t>
                  </w:r>
                  <w:r>
                    <w:rPr>
                      <w:rFonts w:hint="default" w:ascii="Times New Roman" w:hAnsi="Times New Roman" w:eastAsia="宋体" w:cs="Times New Roman"/>
                      <w:color w:val="auto"/>
                      <w:sz w:val="21"/>
                      <w:szCs w:val="21"/>
                      <w:lang w:val="en-US" w:eastAsia="zh-CN"/>
                    </w:rPr>
                    <w:t>化工</w:t>
                  </w:r>
                  <w:r>
                    <w:rPr>
                      <w:rFonts w:hint="default" w:ascii="Times New Roman" w:hAnsi="Times New Roman" w:eastAsia="宋体" w:cs="Times New Roman"/>
                      <w:color w:val="auto"/>
                      <w:sz w:val="21"/>
                      <w:szCs w:val="21"/>
                    </w:rPr>
                    <w:t>项目</w:t>
                  </w:r>
                </w:p>
              </w:tc>
              <w:tc>
                <w:tcPr>
                  <w:tcW w:w="577" w:type="dxa"/>
                  <w:tcBorders>
                    <w:tl2br w:val="nil"/>
                    <w:tr2bl w:val="nil"/>
                  </w:tcBorders>
                  <w:noWrap w:val="0"/>
                  <w:vAlign w:val="center"/>
                </w:tcPr>
                <w:p w14:paraId="2242FA7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08A06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00E220D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禁止在化工企业周边建设不符合安全距离规定的劳动密集型的非化工项目和其他人员密集的公共设施项目</w:t>
                  </w:r>
                  <w:r>
                    <w:rPr>
                      <w:rFonts w:hint="default" w:ascii="Times New Roman" w:hAnsi="Times New Roman" w:eastAsia="宋体" w:cs="Times New Roman"/>
                      <w:color w:val="auto"/>
                      <w:sz w:val="21"/>
                      <w:szCs w:val="21"/>
                      <w:lang w:eastAsia="zh-CN"/>
                    </w:rPr>
                    <w:t>。</w:t>
                  </w:r>
                </w:p>
              </w:tc>
              <w:tc>
                <w:tcPr>
                  <w:tcW w:w="2836" w:type="dxa"/>
                  <w:tcBorders>
                    <w:tl2br w:val="nil"/>
                    <w:tr2bl w:val="nil"/>
                  </w:tcBorders>
                  <w:noWrap w:val="0"/>
                  <w:vAlign w:val="center"/>
                </w:tcPr>
                <w:p w14:paraId="1CF8F44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01EFBC64">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6D1DD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5D01091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禁止新建、扩建不符合国家和省产业政策的尿素、磷铵、电石、烧碱、聚氯乙烯、纯碱等行业新增产能项目。</w:t>
                  </w:r>
                </w:p>
              </w:tc>
              <w:tc>
                <w:tcPr>
                  <w:tcW w:w="2836" w:type="dxa"/>
                  <w:tcBorders>
                    <w:tl2br w:val="nil"/>
                    <w:tr2bl w:val="nil"/>
                  </w:tcBorders>
                  <w:noWrap w:val="0"/>
                  <w:vAlign w:val="center"/>
                </w:tcPr>
                <w:p w14:paraId="4D3E21E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65474C0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026C2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1945BE8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禁止新建、改建、扩建高毒、高残留以及对环境影响大的农药原药</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化学合成类</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项目，禁止新建、扩建不符合国家和省产业政策的农药、医药和染料中间体化工项目。</w:t>
                  </w:r>
                </w:p>
              </w:tc>
              <w:tc>
                <w:tcPr>
                  <w:tcW w:w="2836" w:type="dxa"/>
                  <w:tcBorders>
                    <w:tl2br w:val="nil"/>
                    <w:tr2bl w:val="nil"/>
                  </w:tcBorders>
                  <w:noWrap w:val="0"/>
                  <w:vAlign w:val="center"/>
                </w:tcPr>
                <w:p w14:paraId="65B0D324">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495D875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26ABF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6BB9FD9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禁止新建、扩建不符合国家石化、现代煤化工等产业布局规划的项目，禁止新建独立焦化项目</w:t>
                  </w:r>
                </w:p>
              </w:tc>
              <w:tc>
                <w:tcPr>
                  <w:tcW w:w="2836" w:type="dxa"/>
                  <w:tcBorders>
                    <w:tl2br w:val="nil"/>
                    <w:tr2bl w:val="nil"/>
                  </w:tcBorders>
                  <w:noWrap w:val="0"/>
                  <w:vAlign w:val="center"/>
                </w:tcPr>
                <w:p w14:paraId="2903168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5C62642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6BD1D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135F775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新建、扩建国家《产业结构调整指导目录》《江苏省产业结构调整限制、淘汰和禁止目录》明确的限制类、淘汰类、禁止类项目，法律法规和相关政策明令禁止的落后产能项目，以及明令淘汰的安全生产落后工艺及装备项目。</w:t>
                  </w:r>
                </w:p>
              </w:tc>
              <w:tc>
                <w:tcPr>
                  <w:tcW w:w="2836" w:type="dxa"/>
                  <w:tcBorders>
                    <w:tl2br w:val="nil"/>
                    <w:tr2bl w:val="nil"/>
                  </w:tcBorders>
                  <w:noWrap w:val="0"/>
                  <w:vAlign w:val="center"/>
                </w:tcPr>
                <w:p w14:paraId="3C1E134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，不属于政策中所述禁止项目</w:t>
                  </w:r>
                </w:p>
              </w:tc>
              <w:tc>
                <w:tcPr>
                  <w:tcW w:w="577" w:type="dxa"/>
                  <w:tcBorders>
                    <w:tl2br w:val="nil"/>
                    <w:tr2bl w:val="nil"/>
                  </w:tcBorders>
                  <w:noWrap w:val="0"/>
                  <w:vAlign w:val="center"/>
                </w:tcPr>
                <w:p w14:paraId="5AF6A09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6F3D0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4E182A4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禁止新建、扩建不符合国家产能置换要求的严重过剩产能行业的项目。禁止新建、扩建不符合要求的高耗能高排放项目。</w:t>
                  </w:r>
                </w:p>
              </w:tc>
              <w:tc>
                <w:tcPr>
                  <w:tcW w:w="2836" w:type="dxa"/>
                  <w:tcBorders>
                    <w:tl2br w:val="nil"/>
                    <w:tr2bl w:val="nil"/>
                  </w:tcBorders>
                  <w:noWrap w:val="0"/>
                  <w:vAlign w:val="center"/>
                </w:tcPr>
                <w:p w14:paraId="59806AC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本项目为</w:t>
                  </w:r>
                  <w:r>
                    <w:rPr>
                      <w:rFonts w:hint="default" w:ascii="Times New Roman" w:hAnsi="Times New Roman" w:eastAsia="宋体" w:cs="Times New Roman"/>
                      <w:color w:val="auto"/>
                      <w:sz w:val="21"/>
                      <w:szCs w:val="21"/>
                      <w:lang w:eastAsia="zh-CN"/>
                    </w:rPr>
                    <w:t>C2929塑料零件及其他塑料制品制造，生产船舶配件</w:t>
                  </w:r>
                  <w:r>
                    <w:rPr>
                      <w:rFonts w:hint="default" w:ascii="Times New Roman" w:hAnsi="Times New Roman" w:eastAsia="宋体" w:cs="Times New Roman"/>
                      <w:color w:val="auto"/>
                      <w:sz w:val="21"/>
                      <w:szCs w:val="21"/>
                    </w:rPr>
                    <w:t>，不属于</w:t>
                  </w:r>
                  <w:r>
                    <w:rPr>
                      <w:rFonts w:hint="eastAsia" w:cs="Times New Roman"/>
                      <w:color w:val="auto"/>
                      <w:sz w:val="21"/>
                      <w:szCs w:val="21"/>
                      <w:lang w:val="en-US" w:eastAsia="zh-CN"/>
                    </w:rPr>
                    <w:t>产能过剩、</w:t>
                  </w:r>
                  <w:r>
                    <w:rPr>
                      <w:rFonts w:hint="default" w:ascii="Times New Roman" w:hAnsi="Times New Roman" w:eastAsia="宋体" w:cs="Times New Roman"/>
                      <w:color w:val="auto"/>
                      <w:sz w:val="21"/>
                      <w:szCs w:val="21"/>
                      <w:lang w:val="en-US" w:eastAsia="zh-CN"/>
                    </w:rPr>
                    <w:t>高能耗高排放</w:t>
                  </w:r>
                  <w:r>
                    <w:rPr>
                      <w:rFonts w:hint="default" w:ascii="Times New Roman" w:hAnsi="Times New Roman" w:eastAsia="宋体" w:cs="Times New Roman"/>
                      <w:color w:val="auto"/>
                      <w:sz w:val="21"/>
                      <w:szCs w:val="21"/>
                    </w:rPr>
                    <w:t>项目</w:t>
                  </w:r>
                </w:p>
              </w:tc>
              <w:tc>
                <w:tcPr>
                  <w:tcW w:w="577" w:type="dxa"/>
                  <w:tcBorders>
                    <w:tl2br w:val="nil"/>
                    <w:tr2bl w:val="nil"/>
                  </w:tcBorders>
                  <w:noWrap w:val="0"/>
                  <w:vAlign w:val="center"/>
                </w:tcPr>
                <w:p w14:paraId="2319E99C">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r w14:paraId="35B8D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52" w:type="dxa"/>
                  <w:tcBorders>
                    <w:tl2br w:val="nil"/>
                    <w:tr2bl w:val="nil"/>
                  </w:tcBorders>
                  <w:noWrap w:val="0"/>
                  <w:vAlign w:val="center"/>
                </w:tcPr>
                <w:p w14:paraId="772DDCB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法律法规及相关政策文件有更加严格规定的从其规定。</w:t>
                  </w:r>
                </w:p>
              </w:tc>
              <w:tc>
                <w:tcPr>
                  <w:tcW w:w="2836" w:type="dxa"/>
                  <w:tcBorders>
                    <w:tl2br w:val="nil"/>
                    <w:tr2bl w:val="nil"/>
                  </w:tcBorders>
                  <w:noWrap w:val="0"/>
                  <w:vAlign w:val="center"/>
                </w:tcPr>
                <w:p w14:paraId="5F6A456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c>
                <w:tcPr>
                  <w:tcW w:w="577" w:type="dxa"/>
                  <w:tcBorders>
                    <w:tl2br w:val="nil"/>
                    <w:tr2bl w:val="nil"/>
                  </w:tcBorders>
                  <w:noWrap w:val="0"/>
                  <w:vAlign w:val="center"/>
                </w:tcPr>
                <w:p w14:paraId="41FCB1A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相符</w:t>
                  </w:r>
                </w:p>
              </w:tc>
            </w:tr>
          </w:tbl>
          <w:p w14:paraId="2EE44313">
            <w:pPr>
              <w:keepNext w:val="0"/>
              <w:keepLines w:val="0"/>
              <w:pageBreakBefore w:val="0"/>
              <w:widowControl w:val="0"/>
              <w:kinsoku/>
              <w:wordWrap/>
              <w:overflowPunct/>
              <w:topLinePunct w:val="0"/>
              <w:autoSpaceDE w:val="0"/>
              <w:autoSpaceDN w:val="0"/>
              <w:bidi w:val="0"/>
              <w:adjustRightInd w:val="0"/>
              <w:snapToGrid w:val="0"/>
              <w:spacing w:line="480" w:lineRule="exact"/>
              <w:jc w:val="left"/>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10、与“两高”项目相关政策相符性分析</w:t>
            </w:r>
          </w:p>
          <w:p w14:paraId="678E344E">
            <w:pPr>
              <w:keepNext w:val="0"/>
              <w:keepLines w:val="0"/>
              <w:pageBreakBefore w:val="0"/>
              <w:widowControl w:val="0"/>
              <w:kinsoku/>
              <w:wordWrap/>
              <w:overflowPunct/>
              <w:topLinePunct w:val="0"/>
              <w:autoSpaceDE w:val="0"/>
              <w:autoSpaceDN w:val="0"/>
              <w:bidi w:val="0"/>
              <w:adjustRightInd w:val="0"/>
              <w:snapToGrid w:val="0"/>
              <w:spacing w:line="480" w:lineRule="exact"/>
              <w:jc w:val="left"/>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建设项目主要进行船舶配件的生产，属于[C2929]塑料零件及其他塑料制品制造。对照《江苏省“两高”项目管理目录（2025年版）》，项目不涉及使用高污染燃料且不属于江苏省“两高”项目管理名录。对照《关于报送高耗能、高排放项目清单的通知》，项目不属于“两高”项目报送清单范围。</w:t>
            </w:r>
          </w:p>
          <w:p w14:paraId="3F79364D">
            <w:pPr>
              <w:adjustRightInd w:val="0"/>
              <w:snapToGrid w:val="0"/>
              <w:ind w:firstLine="422"/>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11、废气污染防治</w:t>
            </w:r>
            <w:r>
              <w:rPr>
                <w:rFonts w:hint="default" w:ascii="Times New Roman" w:hAnsi="Times New Roman" w:eastAsia="宋体" w:cs="Times New Roman"/>
                <w:b/>
                <w:bCs/>
                <w:color w:val="auto"/>
                <w:sz w:val="24"/>
                <w:szCs w:val="24"/>
              </w:rPr>
              <w:t>相关文件相符性分析</w:t>
            </w:r>
          </w:p>
          <w:p w14:paraId="69864F76">
            <w:pPr>
              <w:adjustRightInd w:val="0"/>
              <w:snapToGrid w:val="0"/>
              <w:ind w:firstLine="422"/>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sz w:val="24"/>
                <w:szCs w:val="24"/>
                <w:lang w:val="en-US" w:eastAsia="zh-CN"/>
              </w:rPr>
              <w:t>（1）与《江苏省大气颗粒物污染防治管理办法》（省政府令第91号）相符性分析</w:t>
            </w:r>
          </w:p>
          <w:p w14:paraId="648E805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1</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eastAsia="zh-CN"/>
              </w:rPr>
              <w:t>《江苏省大气颗粒物污染防治管理办法》（省政府令第91号）</w:t>
            </w:r>
            <w:r>
              <w:rPr>
                <w:rFonts w:hint="default" w:ascii="Times New Roman" w:hAnsi="Times New Roman" w:eastAsia="宋体" w:cs="Times New Roman"/>
                <w:b/>
                <w:bCs/>
                <w:color w:val="auto"/>
                <w:sz w:val="21"/>
                <w:szCs w:val="21"/>
              </w:rPr>
              <w:t>相符性分析</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7"/>
              <w:gridCol w:w="3505"/>
              <w:gridCol w:w="676"/>
            </w:tblGrid>
            <w:tr w14:paraId="7B3E9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1" w:type="pct"/>
                  <w:tcBorders>
                    <w:tl2br w:val="nil"/>
                    <w:tr2bl w:val="nil"/>
                  </w:tcBorders>
                  <w:noWrap w:val="0"/>
                  <w:vAlign w:val="center"/>
                </w:tcPr>
                <w:p w14:paraId="6C7CA92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要求</w:t>
                  </w:r>
                </w:p>
              </w:tc>
              <w:tc>
                <w:tcPr>
                  <w:tcW w:w="1892" w:type="pct"/>
                  <w:tcBorders>
                    <w:tl2br w:val="nil"/>
                    <w:tr2bl w:val="nil"/>
                  </w:tcBorders>
                  <w:noWrap w:val="0"/>
                  <w:vAlign w:val="center"/>
                </w:tcPr>
                <w:p w14:paraId="693B0794">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65" w:type="pct"/>
                  <w:tcBorders>
                    <w:tl2br w:val="nil"/>
                    <w:tr2bl w:val="nil"/>
                  </w:tcBorders>
                  <w:noWrap w:val="0"/>
                  <w:vAlign w:val="center"/>
                </w:tcPr>
                <w:p w14:paraId="35EFD62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4CFC9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1" w:type="pct"/>
                  <w:tcBorders>
                    <w:tl2br w:val="nil"/>
                    <w:tr2bl w:val="nil"/>
                  </w:tcBorders>
                  <w:noWrap w:val="0"/>
                  <w:vAlign w:val="center"/>
                </w:tcPr>
                <w:p w14:paraId="2E868FF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第十一条：“向大气排放烟尘、粉尘的工业企业，应当采取有效的污染防治措施，确保污染物达标排放”</w:t>
                  </w:r>
                </w:p>
                <w:p w14:paraId="57397D91">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产生烟尘、粉尘的生产和物料运输等环节，应当采取密闭、吸尘、除尘等有效措施，将无组织排放转变为有组织达标排放。</w:t>
                  </w:r>
                </w:p>
              </w:tc>
              <w:tc>
                <w:tcPr>
                  <w:tcW w:w="1892" w:type="pct"/>
                  <w:tcBorders>
                    <w:tl2br w:val="nil"/>
                    <w:tr2bl w:val="nil"/>
                  </w:tcBorders>
                  <w:noWrap w:val="0"/>
                  <w:vAlign w:val="center"/>
                </w:tcPr>
                <w:p w14:paraId="22F3A631">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本项目颗粒物产生和运输环节采用</w:t>
                  </w:r>
                  <w:r>
                    <w:rPr>
                      <w:rFonts w:hint="default" w:ascii="Times New Roman" w:hAnsi="Times New Roman" w:eastAsia="宋体" w:cs="Times New Roman"/>
                      <w:color w:val="auto"/>
                      <w:sz w:val="21"/>
                      <w:szCs w:val="21"/>
                    </w:rPr>
                    <w:t>密闭、吸尘、除尘等有效措施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确保污染物达标排放</w:t>
                  </w:r>
                </w:p>
              </w:tc>
              <w:tc>
                <w:tcPr>
                  <w:tcW w:w="365" w:type="pct"/>
                  <w:tcBorders>
                    <w:tl2br w:val="nil"/>
                    <w:tr2bl w:val="nil"/>
                  </w:tcBorders>
                  <w:noWrap w:val="0"/>
                  <w:vAlign w:val="center"/>
                </w:tcPr>
                <w:p w14:paraId="4DBC021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相符</w:t>
                  </w:r>
                </w:p>
              </w:tc>
            </w:tr>
          </w:tbl>
          <w:p w14:paraId="102A6804">
            <w:pPr>
              <w:adjustRightInd w:val="0"/>
              <w:snapToGrid w:val="0"/>
              <w:ind w:firstLine="422"/>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（2）与《江苏省挥发性有机物污染物防治管理办法》（省政府令第119号）相符性分析</w:t>
            </w:r>
          </w:p>
          <w:p w14:paraId="346795FE">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eastAsia="zh-CN"/>
              </w:rPr>
              <w:t>《江苏省挥发性有机物污染物防治管理办法》（省政府令第119号）</w:t>
            </w:r>
            <w:r>
              <w:rPr>
                <w:rFonts w:hint="default" w:ascii="Times New Roman" w:hAnsi="Times New Roman" w:eastAsia="宋体" w:cs="Times New Roman"/>
                <w:b/>
                <w:bCs/>
                <w:color w:val="auto"/>
                <w:sz w:val="21"/>
                <w:szCs w:val="21"/>
              </w:rPr>
              <w:t>相符性分析</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7"/>
              <w:gridCol w:w="3505"/>
              <w:gridCol w:w="676"/>
            </w:tblGrid>
            <w:tr w14:paraId="0DF7A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1" w:type="pct"/>
                  <w:tcBorders>
                    <w:tl2br w:val="nil"/>
                    <w:tr2bl w:val="nil"/>
                  </w:tcBorders>
                  <w:noWrap w:val="0"/>
                  <w:vAlign w:val="center"/>
                </w:tcPr>
                <w:p w14:paraId="399AC955">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要求</w:t>
                  </w:r>
                </w:p>
              </w:tc>
              <w:tc>
                <w:tcPr>
                  <w:tcW w:w="1892" w:type="pct"/>
                  <w:tcBorders>
                    <w:tl2br w:val="nil"/>
                    <w:tr2bl w:val="nil"/>
                  </w:tcBorders>
                  <w:noWrap w:val="0"/>
                  <w:vAlign w:val="center"/>
                </w:tcPr>
                <w:p w14:paraId="17A81AC6">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65" w:type="pct"/>
                  <w:tcBorders>
                    <w:tl2br w:val="nil"/>
                    <w:tr2bl w:val="nil"/>
                  </w:tcBorders>
                  <w:noWrap w:val="0"/>
                  <w:vAlign w:val="center"/>
                </w:tcPr>
                <w:p w14:paraId="276B8699">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061BD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1" w:type="pct"/>
                  <w:tcBorders>
                    <w:tl2br w:val="nil"/>
                    <w:tr2bl w:val="nil"/>
                  </w:tcBorders>
                  <w:noWrap w:val="0"/>
                  <w:vAlign w:val="center"/>
                </w:tcPr>
                <w:p w14:paraId="6494B849">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根据《江苏省挥发性有机物污染物防治管理办法》：</w:t>
                  </w:r>
                </w:p>
                <w:p w14:paraId="5657DE15">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第十三条：新建、改建、扩建排放挥发性有机物的建设项目，应当依法进行环境影响评价。新增挥发性有机物排放总量指标的不足部分，可以依照有关规定通过排污权交易取得。</w:t>
                  </w:r>
                </w:p>
                <w:p w14:paraId="06F16443">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建设项目的环境影响评价文件未经审查或者审查后未予批准的，建设单位不得开工建设。</w:t>
                  </w:r>
                </w:p>
              </w:tc>
              <w:tc>
                <w:tcPr>
                  <w:tcW w:w="1892" w:type="pct"/>
                  <w:tcBorders>
                    <w:tl2br w:val="nil"/>
                    <w:tr2bl w:val="nil"/>
                  </w:tcBorders>
                  <w:noWrap w:val="0"/>
                  <w:vAlign w:val="center"/>
                </w:tcPr>
                <w:p w14:paraId="535A77C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本项目建设性质为</w:t>
                  </w:r>
                  <w:r>
                    <w:rPr>
                      <w:rFonts w:hint="default" w:ascii="Times New Roman" w:hAnsi="Times New Roman" w:eastAsia="宋体" w:cs="Times New Roman"/>
                      <w:color w:val="auto"/>
                      <w:sz w:val="21"/>
                      <w:szCs w:val="21"/>
                      <w:lang w:val="en-US" w:eastAsia="zh-CN"/>
                    </w:rPr>
                    <w:t>新建</w:t>
                  </w:r>
                  <w:r>
                    <w:rPr>
                      <w:rFonts w:hint="default" w:ascii="Times New Roman" w:hAnsi="Times New Roman" w:eastAsia="宋体" w:cs="Times New Roman"/>
                      <w:color w:val="auto"/>
                      <w:sz w:val="21"/>
                      <w:szCs w:val="21"/>
                    </w:rPr>
                    <w:t>，正在进行环境影响评价</w:t>
                  </w:r>
                  <w:r>
                    <w:rPr>
                      <w:rFonts w:hint="default" w:ascii="Times New Roman" w:hAnsi="Times New Roman" w:eastAsia="宋体" w:cs="Times New Roman"/>
                      <w:color w:val="auto"/>
                      <w:sz w:val="21"/>
                      <w:szCs w:val="21"/>
                      <w:lang w:eastAsia="zh-CN"/>
                    </w:rPr>
                    <w:t>工作</w:t>
                  </w:r>
                  <w:r>
                    <w:rPr>
                      <w:rFonts w:hint="default" w:ascii="Times New Roman" w:hAnsi="Times New Roman" w:eastAsia="宋体" w:cs="Times New Roman"/>
                      <w:color w:val="auto"/>
                      <w:sz w:val="21"/>
                      <w:szCs w:val="21"/>
                    </w:rPr>
                    <w:t>，在环评审批前将严格落实主要污染物排放总量指标控制制度，取得主要污染物排放总量的控制指标和平衡方案。</w:t>
                  </w:r>
                </w:p>
              </w:tc>
              <w:tc>
                <w:tcPr>
                  <w:tcW w:w="365" w:type="pct"/>
                  <w:tcBorders>
                    <w:tl2br w:val="nil"/>
                    <w:tr2bl w:val="nil"/>
                  </w:tcBorders>
                  <w:noWrap w:val="0"/>
                  <w:vAlign w:val="center"/>
                </w:tcPr>
                <w:p w14:paraId="1856149B">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r w14:paraId="48564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1" w:type="pct"/>
                  <w:tcBorders>
                    <w:tl2br w:val="nil"/>
                    <w:tr2bl w:val="nil"/>
                  </w:tcBorders>
                  <w:noWrap w:val="0"/>
                  <w:vAlign w:val="center"/>
                </w:tcPr>
                <w:p w14:paraId="6AA44ED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二十一条：产生挥发性有机物废气的生产经营活动应当在密闭空间或者密闭设备中进行。生产场所、生产设备应当按照环境保护和安全生产等要求设计、安装和有效运行挥发性有机物回收或者净化设施；固体废物、废水、废气处理系统产生的废气应当收集和处理；含有挥发性有机物的物料应当密闭储存、运输、装卸，禁止敞口和露天放置。</w:t>
                  </w:r>
                </w:p>
                <w:p w14:paraId="0E24514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无法在密闭空间进行的生产经营活动应当采取有效措施，减少挥发性有机物排放量。</w:t>
                  </w:r>
                </w:p>
              </w:tc>
              <w:tc>
                <w:tcPr>
                  <w:tcW w:w="1892" w:type="pct"/>
                  <w:tcBorders>
                    <w:tl2br w:val="nil"/>
                    <w:tr2bl w:val="nil"/>
                  </w:tcBorders>
                  <w:noWrap w:val="0"/>
                  <w:vAlign w:val="center"/>
                </w:tcPr>
                <w:p w14:paraId="574BE741">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本项目生产过程中产生的</w:t>
                  </w:r>
                  <w:r>
                    <w:rPr>
                      <w:rFonts w:hint="eastAsia" w:cs="Times New Roman"/>
                      <w:color w:val="auto"/>
                      <w:sz w:val="21"/>
                      <w:szCs w:val="21"/>
                      <w:lang w:val="en-US" w:eastAsia="zh-CN"/>
                    </w:rPr>
                    <w:t>投料粉尘、挤出废气</w:t>
                  </w:r>
                  <w:r>
                    <w:rPr>
                      <w:rFonts w:hint="default" w:ascii="Times New Roman" w:hAnsi="Times New Roman" w:eastAsia="宋体" w:cs="Times New Roman"/>
                      <w:color w:val="auto"/>
                      <w:sz w:val="21"/>
                      <w:szCs w:val="21"/>
                    </w:rPr>
                    <w:t>经</w:t>
                  </w:r>
                  <w:r>
                    <w:rPr>
                      <w:rFonts w:hint="eastAsia" w:cs="Times New Roman"/>
                      <w:color w:val="auto"/>
                      <w:sz w:val="21"/>
                      <w:szCs w:val="21"/>
                      <w:lang w:val="en-US" w:eastAsia="zh-CN"/>
                    </w:rPr>
                    <w:t>集气罩</w:t>
                  </w:r>
                  <w:r>
                    <w:rPr>
                      <w:rFonts w:hint="default" w:ascii="Times New Roman" w:hAnsi="Times New Roman" w:eastAsia="宋体" w:cs="Times New Roman"/>
                      <w:color w:val="auto"/>
                      <w:sz w:val="21"/>
                      <w:szCs w:val="21"/>
                    </w:rPr>
                    <w:t>收集进入“</w:t>
                  </w:r>
                  <w:r>
                    <w:rPr>
                      <w:rFonts w:hint="eastAsia" w:cs="Times New Roman"/>
                      <w:color w:val="auto"/>
                      <w:sz w:val="21"/>
                      <w:szCs w:val="21"/>
                      <w:lang w:val="en-US" w:eastAsia="zh-CN"/>
                    </w:rPr>
                    <w:t>布袋除尘器+</w:t>
                  </w:r>
                  <w:r>
                    <w:rPr>
                      <w:rFonts w:hint="default" w:ascii="Times New Roman" w:hAnsi="Times New Roman" w:eastAsia="宋体" w:cs="Times New Roman"/>
                      <w:color w:val="auto"/>
                      <w:sz w:val="21"/>
                      <w:szCs w:val="21"/>
                      <w:lang w:val="en-US" w:eastAsia="zh-CN"/>
                    </w:rPr>
                    <w:t>二级</w:t>
                  </w:r>
                  <w:r>
                    <w:rPr>
                      <w:rFonts w:hint="default" w:ascii="Times New Roman" w:hAnsi="Times New Roman" w:eastAsia="宋体" w:cs="Times New Roman"/>
                      <w:color w:val="auto"/>
                      <w:sz w:val="21"/>
                      <w:szCs w:val="21"/>
                    </w:rPr>
                    <w:t>活性炭吸附装置处理”，最后通过</w:t>
                  </w:r>
                  <w:r>
                    <w:rPr>
                      <w:rFonts w:hint="default" w:ascii="Times New Roman" w:hAnsi="Times New Roman" w:eastAsia="宋体" w:cs="Times New Roman"/>
                      <w:color w:val="auto"/>
                      <w:sz w:val="21"/>
                      <w:szCs w:val="21"/>
                      <w:lang w:val="en-US" w:eastAsia="zh-CN"/>
                    </w:rPr>
                    <w:t>18</w:t>
                  </w:r>
                  <w:r>
                    <w:rPr>
                      <w:rFonts w:hint="default" w:ascii="Times New Roman" w:hAnsi="Times New Roman" w:eastAsia="宋体" w:cs="Times New Roman"/>
                      <w:color w:val="auto"/>
                      <w:sz w:val="21"/>
                      <w:szCs w:val="21"/>
                    </w:rPr>
                    <w:t>m高</w:t>
                  </w:r>
                  <w:r>
                    <w:rPr>
                      <w:rFonts w:hint="eastAsia" w:cs="Times New Roman"/>
                      <w:color w:val="auto"/>
                      <w:sz w:val="21"/>
                      <w:szCs w:val="21"/>
                      <w:lang w:val="en-US" w:eastAsia="zh-CN"/>
                    </w:rPr>
                    <w:t>DA001</w:t>
                  </w:r>
                  <w:r>
                    <w:rPr>
                      <w:rFonts w:hint="default" w:ascii="Times New Roman" w:hAnsi="Times New Roman" w:eastAsia="宋体" w:cs="Times New Roman"/>
                      <w:color w:val="auto"/>
                      <w:sz w:val="21"/>
                      <w:szCs w:val="21"/>
                    </w:rPr>
                    <w:t>排气筒排放。含有挥发性有机物的物料密闭储存、运输</w:t>
                  </w:r>
                  <w:r>
                    <w:rPr>
                      <w:rFonts w:hint="default" w:ascii="Times New Roman" w:hAnsi="Times New Roman" w:eastAsia="宋体" w:cs="Times New Roman"/>
                      <w:color w:val="auto"/>
                      <w:sz w:val="21"/>
                      <w:szCs w:val="21"/>
                      <w:lang w:eastAsia="zh-CN"/>
                    </w:rPr>
                    <w:t>。</w:t>
                  </w:r>
                </w:p>
              </w:tc>
              <w:tc>
                <w:tcPr>
                  <w:tcW w:w="365" w:type="pct"/>
                  <w:tcBorders>
                    <w:tl2br w:val="nil"/>
                    <w:tr2bl w:val="nil"/>
                  </w:tcBorders>
                  <w:noWrap w:val="0"/>
                  <w:vAlign w:val="center"/>
                </w:tcPr>
                <w:p w14:paraId="71A7049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bl>
          <w:p w14:paraId="15A0A1AD">
            <w:pPr>
              <w:adjustRightInd w:val="0"/>
              <w:snapToGrid w:val="0"/>
              <w:ind w:firstLine="422"/>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（3）与关于印发《重点行业挥发性有机物综合治理方案》的通知（环大气〔2019〕53号）相符性分析</w:t>
            </w:r>
          </w:p>
          <w:p w14:paraId="09A7049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18"/>
                <w:szCs w:val="18"/>
              </w:rPr>
            </w:pPr>
          </w:p>
          <w:p w14:paraId="420AE9C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eastAsia="zh-CN"/>
              </w:rPr>
              <w:t>环大气〔2019〕53号</w:t>
            </w:r>
            <w:r>
              <w:rPr>
                <w:rFonts w:hint="default" w:ascii="Times New Roman" w:hAnsi="Times New Roman" w:eastAsia="宋体" w:cs="Times New Roman"/>
                <w:b/>
                <w:bCs/>
                <w:color w:val="auto"/>
                <w:sz w:val="21"/>
                <w:szCs w:val="21"/>
              </w:rPr>
              <w:t>相符性分析</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2"/>
              <w:gridCol w:w="2717"/>
              <w:gridCol w:w="689"/>
            </w:tblGrid>
            <w:tr w14:paraId="30FA3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4CF8411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要求</w:t>
                  </w:r>
                </w:p>
              </w:tc>
              <w:tc>
                <w:tcPr>
                  <w:tcW w:w="1467" w:type="pct"/>
                  <w:tcBorders>
                    <w:tl2br w:val="nil"/>
                    <w:tr2bl w:val="nil"/>
                  </w:tcBorders>
                  <w:noWrap w:val="0"/>
                  <w:vAlign w:val="center"/>
                </w:tcPr>
                <w:p w14:paraId="1C4B570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72" w:type="pct"/>
                  <w:tcBorders>
                    <w:tl2br w:val="nil"/>
                    <w:tr2bl w:val="nil"/>
                  </w:tcBorders>
                  <w:noWrap w:val="0"/>
                  <w:vAlign w:val="center"/>
                </w:tcPr>
                <w:p w14:paraId="0789666A">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0E96B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71001898">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p w14:paraId="40CE675B">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加强政策引导。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tc>
              <w:tc>
                <w:tcPr>
                  <w:tcW w:w="1467" w:type="pct"/>
                  <w:tcBorders>
                    <w:tl2br w:val="nil"/>
                    <w:tr2bl w:val="nil"/>
                  </w:tcBorders>
                  <w:noWrap w:val="0"/>
                  <w:vAlign w:val="center"/>
                </w:tcPr>
                <w:p w14:paraId="0B146278">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本项目不生产和使用高VOCs含量的涂料、油墨、胶粘剂。</w:t>
                  </w:r>
                </w:p>
              </w:tc>
              <w:tc>
                <w:tcPr>
                  <w:tcW w:w="372" w:type="pct"/>
                  <w:tcBorders>
                    <w:tl2br w:val="nil"/>
                    <w:tr2bl w:val="nil"/>
                  </w:tcBorders>
                  <w:noWrap w:val="0"/>
                  <w:vAlign w:val="center"/>
                </w:tcPr>
                <w:p w14:paraId="0E78490D">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r w14:paraId="66DE4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1696C3C3">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14:paraId="3F48F3F1">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提高废气收集率。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467" w:type="pct"/>
                  <w:tcBorders>
                    <w:tl2br w:val="nil"/>
                    <w:tr2bl w:val="nil"/>
                  </w:tcBorders>
                  <w:noWrap w:val="0"/>
                  <w:vAlign w:val="center"/>
                </w:tcPr>
                <w:p w14:paraId="432DEBEB">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本项目有机废气均通过有效收集后处理。</w:t>
                  </w:r>
                </w:p>
              </w:tc>
              <w:tc>
                <w:tcPr>
                  <w:tcW w:w="372" w:type="pct"/>
                  <w:tcBorders>
                    <w:tl2br w:val="nil"/>
                    <w:tr2bl w:val="nil"/>
                  </w:tcBorders>
                  <w:noWrap w:val="0"/>
                  <w:vAlign w:val="center"/>
                </w:tcPr>
                <w:p w14:paraId="77F778F7">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r w14:paraId="5CDBEA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noWrap w:val="0"/>
                  <w:vAlign w:val="center"/>
                </w:tcPr>
                <w:p w14:paraId="6C22AD96">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p w14:paraId="3F03B9EF">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规范工程设计。采用吸附处理工艺的，应满足《吸附法工业有机废气治理工程技术规范》要求。采用催化燃烧工艺的，应满足《催化燃烧法工业有机废气治理工程技术规范》要求。采用蓄热燃烧等其他处理工艺的，应按相关技术规范要求设计。</w:t>
                  </w:r>
                </w:p>
                <w:p w14:paraId="09A9ECBF">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实行重点排放源排放浓度与去除效率双重控制。车间或生产设施收集排放的废气，VOCs初始排放速率大于等于3千克/小时、重点区域大于等于2千克/小时的，应加大控制力度，除确保排放浓度稳定达标外，还应实行去除效率控制，去除效率不低于80%；采用的原辅材料符合国家有关低VOCs含量产品规定的除外，有行业排放标准的按其相关规定执行。</w:t>
                  </w:r>
                </w:p>
              </w:tc>
              <w:tc>
                <w:tcPr>
                  <w:tcW w:w="1467" w:type="pct"/>
                  <w:noWrap w:val="0"/>
                  <w:vAlign w:val="center"/>
                </w:tcPr>
                <w:p w14:paraId="6A5ECFBF">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w:t>
                  </w:r>
                  <w:r>
                    <w:rPr>
                      <w:rFonts w:hint="eastAsia" w:cs="Times New Roman"/>
                      <w:color w:val="auto"/>
                      <w:sz w:val="21"/>
                      <w:szCs w:val="21"/>
                      <w:lang w:val="en-US" w:eastAsia="zh-CN"/>
                    </w:rPr>
                    <w:t>挤出废气</w:t>
                  </w:r>
                  <w:r>
                    <w:rPr>
                      <w:rFonts w:hint="default" w:ascii="Times New Roman" w:hAnsi="Times New Roman" w:eastAsia="宋体" w:cs="Times New Roman"/>
                      <w:color w:val="auto"/>
                      <w:sz w:val="21"/>
                      <w:szCs w:val="21"/>
                    </w:rPr>
                    <w:t>经</w:t>
                  </w:r>
                  <w:r>
                    <w:rPr>
                      <w:rFonts w:hint="eastAsia" w:cs="Times New Roman"/>
                      <w:color w:val="auto"/>
                      <w:sz w:val="21"/>
                      <w:szCs w:val="21"/>
                      <w:lang w:val="en-US" w:eastAsia="zh-CN"/>
                    </w:rPr>
                    <w:t>集气罩</w:t>
                  </w:r>
                  <w:r>
                    <w:rPr>
                      <w:rFonts w:hint="default" w:ascii="Times New Roman" w:hAnsi="Times New Roman" w:eastAsia="宋体" w:cs="Times New Roman"/>
                      <w:color w:val="auto"/>
                      <w:sz w:val="21"/>
                      <w:szCs w:val="21"/>
                    </w:rPr>
                    <w:t>收集进入“</w:t>
                  </w:r>
                  <w:r>
                    <w:rPr>
                      <w:rFonts w:hint="eastAsia" w:cs="Times New Roman"/>
                      <w:color w:val="auto"/>
                      <w:sz w:val="21"/>
                      <w:szCs w:val="21"/>
                      <w:lang w:val="en-US" w:eastAsia="zh-CN"/>
                    </w:rPr>
                    <w:t>布袋除尘器+</w:t>
                  </w:r>
                  <w:r>
                    <w:rPr>
                      <w:rFonts w:hint="default" w:ascii="Times New Roman" w:hAnsi="Times New Roman" w:eastAsia="宋体" w:cs="Times New Roman"/>
                      <w:color w:val="auto"/>
                      <w:sz w:val="21"/>
                      <w:szCs w:val="21"/>
                      <w:lang w:val="en-US" w:eastAsia="zh-CN"/>
                    </w:rPr>
                    <w:t>二级</w:t>
                  </w:r>
                  <w:r>
                    <w:rPr>
                      <w:rFonts w:hint="default" w:ascii="Times New Roman" w:hAnsi="Times New Roman" w:eastAsia="宋体" w:cs="Times New Roman"/>
                      <w:color w:val="auto"/>
                      <w:sz w:val="21"/>
                      <w:szCs w:val="21"/>
                    </w:rPr>
                    <w:t>活性炭吸附装置处理”，最后通过</w:t>
                  </w:r>
                  <w:r>
                    <w:rPr>
                      <w:rFonts w:hint="default" w:ascii="Times New Roman" w:hAnsi="Times New Roman" w:eastAsia="宋体" w:cs="Times New Roman"/>
                      <w:color w:val="auto"/>
                      <w:sz w:val="21"/>
                      <w:szCs w:val="21"/>
                      <w:lang w:val="en-US" w:eastAsia="zh-CN"/>
                    </w:rPr>
                    <w:t>18</w:t>
                  </w:r>
                  <w:r>
                    <w:rPr>
                      <w:rFonts w:hint="default" w:ascii="Times New Roman" w:hAnsi="Times New Roman" w:eastAsia="宋体" w:cs="Times New Roman"/>
                      <w:color w:val="auto"/>
                      <w:sz w:val="21"/>
                      <w:szCs w:val="21"/>
                    </w:rPr>
                    <w:t>m高</w:t>
                  </w:r>
                  <w:r>
                    <w:rPr>
                      <w:rFonts w:hint="eastAsia" w:cs="Times New Roman"/>
                      <w:color w:val="auto"/>
                      <w:sz w:val="21"/>
                      <w:szCs w:val="21"/>
                      <w:lang w:val="en-US" w:eastAsia="zh-CN"/>
                    </w:rPr>
                    <w:t>DA001</w:t>
                  </w:r>
                  <w:r>
                    <w:rPr>
                      <w:rFonts w:hint="default" w:ascii="Times New Roman" w:hAnsi="Times New Roman" w:eastAsia="宋体" w:cs="Times New Roman"/>
                      <w:color w:val="auto"/>
                      <w:sz w:val="21"/>
                      <w:szCs w:val="21"/>
                    </w:rPr>
                    <w:t>排气筒排放</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满足《吸附法工业有机废气治理工程技术规范》。有机废气去除效率大于80%。</w:t>
                  </w:r>
                  <w:r>
                    <w:rPr>
                      <w:rFonts w:hint="eastAsia" w:cs="Times New Roman"/>
                      <w:color w:val="auto"/>
                      <w:sz w:val="21"/>
                      <w:szCs w:val="21"/>
                      <w:lang w:val="en-US" w:eastAsia="zh-CN"/>
                    </w:rPr>
                    <w:t>活性炭定期更换，产生的废活性炭委托有资质单位处置。</w:t>
                  </w:r>
                </w:p>
              </w:tc>
              <w:tc>
                <w:tcPr>
                  <w:tcW w:w="372" w:type="pct"/>
                  <w:noWrap w:val="0"/>
                  <w:vAlign w:val="center"/>
                </w:tcPr>
                <w:p w14:paraId="527B080F">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bl>
          <w:p w14:paraId="6A4BED63">
            <w:pPr>
              <w:adjustRightInd w:val="0"/>
              <w:snapToGrid w:val="0"/>
              <w:ind w:firstLine="422"/>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（4）与《省政府关于印发江苏省空气质量持续改善行动计划实施方案的通知》（苏政发〔2024〕53号）的对照分析</w:t>
            </w:r>
          </w:p>
          <w:p w14:paraId="5109022E">
            <w:pPr>
              <w:pStyle w:val="36"/>
              <w:keepNext w:val="0"/>
              <w:keepLines w:val="0"/>
              <w:pageBreakBefore w:val="0"/>
              <w:widowControl/>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smallCaps w:val="0"/>
                <w:color w:val="auto"/>
                <w:kern w:val="2"/>
                <w:sz w:val="21"/>
                <w:szCs w:val="21"/>
                <w:lang w:val="en-US" w:eastAsia="zh-CN" w:bidi="ar-SA"/>
              </w:rPr>
            </w:pPr>
            <w:r>
              <w:rPr>
                <w:rFonts w:hint="default" w:ascii="Times New Roman" w:hAnsi="Times New Roman" w:eastAsia="宋体" w:cs="Times New Roman"/>
                <w:b/>
                <w:bCs/>
                <w:smallCaps w:val="0"/>
                <w:color w:val="auto"/>
                <w:kern w:val="2"/>
                <w:sz w:val="21"/>
                <w:szCs w:val="21"/>
                <w:lang w:val="en-US" w:eastAsia="zh-CN" w:bidi="ar-SA"/>
              </w:rPr>
              <w:t>表1-1</w:t>
            </w:r>
            <w:r>
              <w:rPr>
                <w:rFonts w:hint="eastAsia" w:ascii="Times New Roman" w:hAnsi="Times New Roman" w:cs="Times New Roman"/>
                <w:b/>
                <w:bCs/>
                <w:smallCaps w:val="0"/>
                <w:color w:val="auto"/>
                <w:kern w:val="2"/>
                <w:sz w:val="21"/>
                <w:szCs w:val="21"/>
                <w:lang w:val="en-US" w:eastAsia="zh-CN" w:bidi="ar-SA"/>
              </w:rPr>
              <w:t>4</w:t>
            </w:r>
            <w:r>
              <w:rPr>
                <w:rFonts w:hint="default" w:ascii="Times New Roman" w:hAnsi="Times New Roman" w:eastAsia="宋体" w:cs="Times New Roman"/>
                <w:b/>
                <w:bCs/>
                <w:smallCaps w:val="0"/>
                <w:color w:val="auto"/>
                <w:kern w:val="2"/>
                <w:sz w:val="21"/>
                <w:szCs w:val="21"/>
                <w:lang w:val="en-US" w:eastAsia="zh-CN" w:bidi="ar-SA"/>
              </w:rPr>
              <w:t xml:space="preserve"> 与苏政发〔2024〕53号文相符性分析</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2"/>
              <w:gridCol w:w="2730"/>
              <w:gridCol w:w="676"/>
            </w:tblGrid>
            <w:tr w14:paraId="65416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31024E03">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要求</w:t>
                  </w:r>
                </w:p>
              </w:tc>
              <w:tc>
                <w:tcPr>
                  <w:tcW w:w="1474" w:type="pct"/>
                  <w:tcBorders>
                    <w:tl2br w:val="nil"/>
                    <w:tr2bl w:val="nil"/>
                  </w:tcBorders>
                  <w:noWrap w:val="0"/>
                  <w:vAlign w:val="center"/>
                </w:tcPr>
                <w:p w14:paraId="206346F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65" w:type="pct"/>
                  <w:tcBorders>
                    <w:tl2br w:val="nil"/>
                    <w:tr2bl w:val="nil"/>
                  </w:tcBorders>
                  <w:noWrap w:val="0"/>
                  <w:vAlign w:val="center"/>
                </w:tcPr>
                <w:p w14:paraId="3901A09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13457F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1278C915">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坚决遏制高耗能、高排放、低水平项目盲目上马。研究制定“两高”项目管理目录。严禁核准或备案钢铁（炼钢、炼铁）、焦化、电解铝、水泥（熟料）、平板玻璃（不含光伏压延玻璃）和炼化（纳入国家产业规划除外）等行业新增产能的项目。到2025年，短流程炼钢产量占比力争达20%以上。</w:t>
                  </w:r>
                </w:p>
              </w:tc>
              <w:tc>
                <w:tcPr>
                  <w:tcW w:w="1474" w:type="pct"/>
                  <w:tcBorders>
                    <w:tl2br w:val="nil"/>
                    <w:tr2bl w:val="nil"/>
                  </w:tcBorders>
                  <w:noWrap w:val="0"/>
                  <w:vAlign w:val="center"/>
                </w:tcPr>
                <w:p w14:paraId="7E28924E">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本项目为C2929塑料零件及其他塑料制品制造，不属于“两高”项目。</w:t>
                  </w:r>
                </w:p>
              </w:tc>
              <w:tc>
                <w:tcPr>
                  <w:tcW w:w="365" w:type="pct"/>
                  <w:tcBorders>
                    <w:tl2br w:val="nil"/>
                    <w:tr2bl w:val="nil"/>
                  </w:tcBorders>
                  <w:noWrap w:val="0"/>
                  <w:vAlign w:val="center"/>
                </w:tcPr>
                <w:p w14:paraId="756F5360">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r w14:paraId="11F21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13E2B2EA">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优化含VOCs原辅材料和产品结构。严格控制生产和使用高VOCs含量涂料、油墨、胶粘剂、清洗剂等建设项目。加大工业涂装、包装印刷和电子行业清洁原料替代力度。鼓励和推进汽车4S店、大型汽修厂实施水性涂料替代。</w:t>
                  </w:r>
                </w:p>
              </w:tc>
              <w:tc>
                <w:tcPr>
                  <w:tcW w:w="1474" w:type="pct"/>
                  <w:vMerge w:val="restart"/>
                  <w:tcBorders>
                    <w:tl2br w:val="nil"/>
                    <w:tr2bl w:val="nil"/>
                  </w:tcBorders>
                  <w:noWrap w:val="0"/>
                  <w:vAlign w:val="center"/>
                </w:tcPr>
                <w:p w14:paraId="738C874B">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本项目不属于化工、涂装、医药、包装印刷等高VOCs排放建设项目</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生产过程中产生的有机废气经</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val="en-US" w:eastAsia="zh-CN"/>
                    </w:rPr>
                    <w:t>布袋除尘器+</w:t>
                  </w:r>
                  <w:r>
                    <w:rPr>
                      <w:rFonts w:hint="default" w:ascii="Times New Roman" w:hAnsi="Times New Roman" w:eastAsia="宋体" w:cs="Times New Roman"/>
                      <w:color w:val="auto"/>
                      <w:sz w:val="21"/>
                      <w:szCs w:val="21"/>
                      <w:lang w:eastAsia="zh-CN"/>
                    </w:rPr>
                    <w:t>二级活性炭吸附</w:t>
                  </w:r>
                  <w:r>
                    <w:rPr>
                      <w:rFonts w:hint="default" w:ascii="Times New Roman" w:hAnsi="Times New Roman" w:eastAsia="宋体" w:cs="Times New Roman"/>
                      <w:color w:val="auto"/>
                      <w:sz w:val="21"/>
                      <w:szCs w:val="21"/>
                    </w:rPr>
                    <w:t>装置”处理后</w:t>
                  </w:r>
                  <w:r>
                    <w:rPr>
                      <w:rFonts w:hint="default" w:ascii="Times New Roman" w:hAnsi="Times New Roman" w:eastAsia="宋体" w:cs="Times New Roman"/>
                      <w:color w:val="auto"/>
                      <w:sz w:val="21"/>
                      <w:szCs w:val="21"/>
                      <w:lang w:eastAsia="zh-CN"/>
                    </w:rPr>
                    <w:t>可达标</w:t>
                  </w:r>
                  <w:r>
                    <w:rPr>
                      <w:rFonts w:hint="default" w:ascii="Times New Roman" w:hAnsi="Times New Roman" w:eastAsia="宋体" w:cs="Times New Roman"/>
                      <w:color w:val="auto"/>
                      <w:sz w:val="21"/>
                      <w:szCs w:val="21"/>
                    </w:rPr>
                    <w:t>排放。</w:t>
                  </w:r>
                </w:p>
              </w:tc>
              <w:tc>
                <w:tcPr>
                  <w:tcW w:w="365" w:type="pct"/>
                  <w:vMerge w:val="restart"/>
                  <w:tcBorders>
                    <w:tl2br w:val="nil"/>
                    <w:tr2bl w:val="nil"/>
                  </w:tcBorders>
                  <w:noWrap w:val="0"/>
                  <w:vAlign w:val="center"/>
                </w:tcPr>
                <w:p w14:paraId="187D8A38">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相符</w:t>
                  </w:r>
                </w:p>
              </w:tc>
            </w:tr>
            <w:tr w14:paraId="03801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60" w:type="pct"/>
                  <w:tcBorders>
                    <w:tl2br w:val="nil"/>
                    <w:tr2bl w:val="nil"/>
                  </w:tcBorders>
                  <w:noWrap w:val="0"/>
                  <w:vAlign w:val="center"/>
                </w:tcPr>
                <w:p w14:paraId="7889A35C">
                  <w:pPr>
                    <w:keepNext w:val="0"/>
                    <w:keepLines w:val="0"/>
                    <w:pageBreakBefore w:val="0"/>
                    <w:numPr>
                      <w:ilvl w:val="0"/>
                      <w:numId w:val="0"/>
                    </w:numPr>
                    <w:kinsoku/>
                    <w:wordWrap/>
                    <w:overflowPunct/>
                    <w:topLinePunct w:val="0"/>
                    <w:bidi w:val="0"/>
                    <w:spacing w:line="240" w:lineRule="exact"/>
                    <w:ind w:left="0" w:leftChars="0" w:right="113" w:rightChars="0" w:firstLine="0" w:firstLineChars="0"/>
                    <w:jc w:val="center"/>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default" w:ascii="Times New Roman" w:hAnsi="Times New Roman" w:eastAsia="宋体" w:cs="Times New Roman"/>
                      <w:b w:val="0"/>
                      <w:bCs w:val="0"/>
                      <w:color w:val="auto"/>
                      <w:kern w:val="0"/>
                      <w:sz w:val="21"/>
                      <w:szCs w:val="21"/>
                      <w:vertAlign w:val="baseline"/>
                      <w:lang w:val="en-US" w:eastAsia="zh-CN" w:bidi="ar-SA"/>
                    </w:rPr>
                    <w:t>（</w:t>
                  </w:r>
                  <w:r>
                    <w:rPr>
                      <w:rFonts w:hint="default" w:ascii="Times New Roman" w:hAnsi="Times New Roman" w:eastAsia="宋体" w:cs="Times New Roman"/>
                      <w:color w:val="auto"/>
                      <w:sz w:val="21"/>
                      <w:szCs w:val="21"/>
                      <w:lang w:val="en-US" w:eastAsia="zh-CN"/>
                    </w:rPr>
                    <w:t>十四）强化VOCs全流程、全环节综合治理。鼓励储罐使用低泄漏的呼吸阀、紧急泄压阀，定期开展密封性检测。重点工业园区建立分环节、分物种管控清单，实施高排放关键活性物种“指纹化”监测监控和靶向治理。到2025年，重点工业园区VOCs浓度力争比2021年下降20%。</w:t>
                  </w:r>
                </w:p>
              </w:tc>
              <w:tc>
                <w:tcPr>
                  <w:tcW w:w="1474" w:type="pct"/>
                  <w:vMerge w:val="continue"/>
                  <w:tcBorders>
                    <w:tl2br w:val="nil"/>
                    <w:tr2bl w:val="nil"/>
                  </w:tcBorders>
                  <w:noWrap w:val="0"/>
                  <w:vAlign w:val="top"/>
                </w:tcPr>
                <w:p w14:paraId="43C11BBF">
                  <w:pPr>
                    <w:keepNext w:val="0"/>
                    <w:keepLines w:val="0"/>
                    <w:pageBreakBefore w:val="0"/>
                    <w:widowControl w:val="0"/>
                    <w:kinsoku/>
                    <w:wordWrap/>
                    <w:overflowPunct/>
                    <w:topLinePunct w:val="0"/>
                    <w:autoSpaceDE w:val="0"/>
                    <w:autoSpaceDN w:val="0"/>
                    <w:bidi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p>
              </w:tc>
              <w:tc>
                <w:tcPr>
                  <w:tcW w:w="365" w:type="pct"/>
                  <w:vMerge w:val="continue"/>
                  <w:tcBorders>
                    <w:tl2br w:val="nil"/>
                    <w:tr2bl w:val="nil"/>
                  </w:tcBorders>
                  <w:noWrap w:val="0"/>
                  <w:vAlign w:val="top"/>
                </w:tcPr>
                <w:p w14:paraId="19DCC5B2">
                  <w:pPr>
                    <w:keepNext w:val="0"/>
                    <w:keepLines w:val="0"/>
                    <w:pageBreakBefore w:val="0"/>
                    <w:widowControl w:val="0"/>
                    <w:kinsoku/>
                    <w:wordWrap/>
                    <w:overflowPunct/>
                    <w:topLinePunct w:val="0"/>
                    <w:autoSpaceDE w:val="0"/>
                    <w:autoSpaceDN w:val="0"/>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bl>
          <w:p w14:paraId="23AB34FD">
            <w:pP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lang w:val="en-US" w:eastAsia="zh-CN"/>
              </w:rPr>
              <w:t>（5）</w:t>
            </w:r>
            <w:r>
              <w:rPr>
                <w:rFonts w:hint="default" w:ascii="Times New Roman" w:hAnsi="Times New Roman" w:eastAsia="宋体" w:cs="Times New Roman"/>
                <w:b/>
                <w:bCs/>
                <w:color w:val="auto"/>
                <w:kern w:val="2"/>
                <w:sz w:val="21"/>
                <w:szCs w:val="21"/>
                <w:lang w:val="en-US" w:eastAsia="zh-CN" w:bidi="ar-SA"/>
              </w:rPr>
              <w:t>与《常州市空气质量持续改善行动计划实施方案》（常政发〔2024〕51号）</w:t>
            </w:r>
            <w:r>
              <w:rPr>
                <w:rFonts w:hint="default" w:ascii="Times New Roman" w:hAnsi="Times New Roman" w:eastAsia="宋体" w:cs="Times New Roman"/>
                <w:b/>
                <w:bCs/>
                <w:color w:val="auto"/>
              </w:rPr>
              <w:t>符合性分析</w:t>
            </w:r>
          </w:p>
          <w:p w14:paraId="6A61358C">
            <w:pPr>
              <w:pStyle w:val="40"/>
              <w:spacing w:before="0" w:beforeAutospacing="0" w:after="0" w:afterAutospacing="0"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1</w:t>
            </w:r>
            <w:r>
              <w:rPr>
                <w:rFonts w:hint="eastAsia" w:ascii="Times New Roman" w:hAnsi="Times New Roman"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与《常州市空气质量持续改善行动计划实施方案》（常政发</w:t>
            </w:r>
            <w:r>
              <w:rPr>
                <w:rFonts w:hint="default" w:ascii="Times New Roman" w:hAnsi="Times New Roman" w:eastAsia="宋体" w:cs="Times New Roman"/>
                <w:b/>
                <w:bCs/>
                <w:color w:val="auto"/>
                <w:sz w:val="21"/>
                <w:szCs w:val="21"/>
                <w:lang w:eastAsia="zh-CN"/>
              </w:rPr>
              <w:t>〔2024〕51号</w:t>
            </w:r>
            <w:r>
              <w:rPr>
                <w:rFonts w:hint="default" w:ascii="Times New Roman" w:hAnsi="Times New Roman" w:eastAsia="宋体" w:cs="Times New Roman"/>
                <w:b/>
                <w:bCs/>
                <w:color w:val="auto"/>
                <w:sz w:val="21"/>
                <w:szCs w:val="21"/>
              </w:rPr>
              <w:t>）的符合性分析</w:t>
            </w:r>
          </w:p>
          <w:tbl>
            <w:tblPr>
              <w:tblStyle w:val="44"/>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5"/>
              <w:gridCol w:w="2730"/>
              <w:gridCol w:w="673"/>
            </w:tblGrid>
            <w:tr w14:paraId="247D9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161" w:type="pct"/>
                  <w:noWrap w:val="0"/>
                  <w:vAlign w:val="center"/>
                </w:tcPr>
                <w:p w14:paraId="62B1B856">
                  <w:pPr>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文件相关内容</w:t>
                  </w:r>
                </w:p>
              </w:tc>
              <w:tc>
                <w:tcPr>
                  <w:tcW w:w="1474" w:type="pct"/>
                  <w:noWrap w:val="0"/>
                  <w:vAlign w:val="center"/>
                </w:tcPr>
                <w:p w14:paraId="307EFC94">
                  <w:pPr>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本项目</w:t>
                  </w:r>
                </w:p>
              </w:tc>
              <w:tc>
                <w:tcPr>
                  <w:tcW w:w="363" w:type="pct"/>
                  <w:noWrap w:val="0"/>
                  <w:vAlign w:val="center"/>
                </w:tcPr>
                <w:p w14:paraId="6B91D446">
                  <w:pPr>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相符性</w:t>
                  </w:r>
                </w:p>
              </w:tc>
            </w:tr>
            <w:tr w14:paraId="09777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1" w:type="pct"/>
                  <w:noWrap w:val="0"/>
                  <w:vAlign w:val="center"/>
                </w:tcPr>
                <w:p w14:paraId="216306BD">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二、调整优化产业结构，推进产业绿色低碳发展 </w:t>
                  </w:r>
                </w:p>
                <w:p w14:paraId="0F51014F">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一）坚决遏制“两高”项目盲目发展。按照江苏省“两高”项目分类管理工作要求，严格执行国家、省有关钢铁（炼钢、炼铁）、焦化、电解铝、水泥（熟料）、平板玻璃（不含光伏压延玻璃）和炼化（纳入国家产业规划除外）等行业产业政策标准。到2025年，短流程炼钢产能占比力争达20%以上。</w:t>
                  </w:r>
                </w:p>
                <w:p w14:paraId="2024726C">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（二）加快退出重点行业落后产能。落实《产业结构调整指导目录》，依法依规逐步退出限制类涉气行业工艺和装备、逐步淘汰步进式烧结机和球团竖炉以及半封闭式硅锰合金、镍铁、高碳铬铁、高碳锰铁电炉。</w:t>
                  </w:r>
                </w:p>
                <w:p w14:paraId="08496EB9">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三）推进产业集群、园区绿色转型升级。中小型传统制造企业集中的辖市（区）均要制定涉气产业集群发展规划，严格项目审批，严防污染下乡。针对现有产业集群制定专项整治方案，依法淘汰关停一批、搬迁入园一批，就地改造一批、做优做强一批。</w:t>
                  </w:r>
                </w:p>
                <w:p w14:paraId="69E5735C">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eastAsia="zh-CN"/>
                    </w:rPr>
                    <w:t xml:space="preserve"> （四）优化含 VOCs 原辅材料和产品结构。严格控制生产和使用高VOCs含量涂料、油墨、胶粘剂、清洗剂等建设项目。加大工业涂装、包装印刷和电子行业清洁原料替代力度。鼓励和推进汽车4S店、大型汽修厂实施水性涂料替代。</w:t>
                  </w:r>
                </w:p>
              </w:tc>
              <w:tc>
                <w:tcPr>
                  <w:tcW w:w="1474" w:type="pct"/>
                  <w:noWrap w:val="0"/>
                  <w:vAlign w:val="center"/>
                </w:tcPr>
                <w:p w14:paraId="7CCF083D">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本项目为C2929塑料零件及其他塑料制品制造，不属于“两高”项目。</w:t>
                  </w:r>
                </w:p>
                <w:p w14:paraId="2869BF1A">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w:t>
                  </w:r>
                  <w:r>
                    <w:rPr>
                      <w:rFonts w:hint="default" w:ascii="Times New Roman" w:hAnsi="Times New Roman" w:eastAsia="宋体" w:cs="Times New Roman"/>
                      <w:color w:val="auto"/>
                      <w:kern w:val="2"/>
                      <w:sz w:val="21"/>
                      <w:szCs w:val="21"/>
                      <w:highlight w:val="none"/>
                      <w:lang w:eastAsia="zh-CN"/>
                    </w:rPr>
                    <w:t>《产业结构调整指导目录》</w:t>
                  </w:r>
                  <w:r>
                    <w:rPr>
                      <w:rFonts w:hint="default" w:ascii="Times New Roman" w:hAnsi="Times New Roman" w:eastAsia="宋体" w:cs="Times New Roman"/>
                      <w:color w:val="auto"/>
                      <w:kern w:val="2"/>
                      <w:sz w:val="21"/>
                      <w:szCs w:val="21"/>
                      <w:highlight w:val="none"/>
                      <w:lang w:val="en-US" w:eastAsia="zh-CN"/>
                    </w:rPr>
                    <w:t>中限制、淘汰类工艺和装备。</w:t>
                  </w:r>
                </w:p>
                <w:p w14:paraId="77683605">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本项目位于位于江苏省常州市金坛区儒园路1号，属于金坛区儒林现代产业园内。</w:t>
                  </w:r>
                </w:p>
                <w:p w14:paraId="21DEC138">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本项目不使用含有</w:t>
                  </w:r>
                  <w:r>
                    <w:rPr>
                      <w:rFonts w:hint="default" w:ascii="Times New Roman" w:hAnsi="Times New Roman" w:eastAsia="宋体" w:cs="Times New Roman"/>
                      <w:color w:val="auto"/>
                      <w:kern w:val="2"/>
                      <w:sz w:val="21"/>
                      <w:szCs w:val="21"/>
                      <w:highlight w:val="none"/>
                      <w:lang w:eastAsia="zh-CN"/>
                    </w:rPr>
                    <w:t>VOCs</w:t>
                  </w:r>
                  <w:r>
                    <w:rPr>
                      <w:rFonts w:hint="default" w:ascii="Times New Roman" w:hAnsi="Times New Roman" w:eastAsia="宋体" w:cs="Times New Roman"/>
                      <w:color w:val="auto"/>
                      <w:kern w:val="2"/>
                      <w:sz w:val="21"/>
                      <w:szCs w:val="21"/>
                      <w:highlight w:val="none"/>
                      <w:lang w:val="en-US" w:eastAsia="zh-CN"/>
                    </w:rPr>
                    <w:t>的涂料和清洗剂。</w:t>
                  </w:r>
                </w:p>
              </w:tc>
              <w:tc>
                <w:tcPr>
                  <w:tcW w:w="363" w:type="pct"/>
                  <w:noWrap w:val="0"/>
                  <w:vAlign w:val="center"/>
                </w:tcPr>
                <w:p w14:paraId="36FF85F2">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相符</w:t>
                  </w:r>
                </w:p>
              </w:tc>
            </w:tr>
            <w:tr w14:paraId="69E3D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1" w:type="pct"/>
                  <w:noWrap w:val="0"/>
                  <w:vAlign w:val="center"/>
                </w:tcPr>
                <w:p w14:paraId="0CC3F412">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三、推进能源高效利用，加快能源清洁低碳转型 </w:t>
                  </w:r>
                </w:p>
                <w:p w14:paraId="33413A6D">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五）大力发展新能源和清洁能源。加快推进光伏发电项目建设和公共机构光伏应用，提升全市公共机构光伏应用水平和示范表率功能，因地制宜发展风力发电，统筹发展生物质能，推广建设“光储充检换”一体化充电示范项目，通过光伏优先消纳、余量存入储能、充满之后上网以及储能夜充日放，实现存储就地消纳。到2025年，新能源发电装机规模达到430万千瓦，公共机构新建建筑可安装光伏屋顶面积力争实现光伏覆盖率达到50%。</w:t>
                  </w:r>
                </w:p>
                <w:p w14:paraId="64EB2060">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六）严格合理控制煤炭消费总量。原则上不再新增自备燃煤机组，支持自备燃煤机组实施清洁能源替代。未达到能耗强度降低基本目标进度要求的地区，在节能审查等环节对高耗能项目缓批限批。在保障能源安全供应的前提下，继续实施煤炭消费总量控制，鼓励发电向高效、清洁机组倾斜，到2025年全市煤炭消费量较2020年下降5%左右。</w:t>
                  </w:r>
                </w:p>
                <w:p w14:paraId="1C656B8A">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（七）推进燃煤锅炉关停整合和工业炉窑清洁能源替代。充分发挥30万千瓦及以上热电联产电厂的供热能力，对其供热半径 30 公里范围内的燃煤锅炉和落后燃煤小热电机组（含自备电厂）进行关停或整合。到2025年，淘汰35蒸吨小时及以下燃煤锅炉，基本淘汰茶水炉、经营性炉灶、储粮烘干设备、农产品加工等燃煤设施。不再新增燃料类煤气发生炉，新改扩建加热炉、热处理炉、干燥炉、熔化炉原则上采用清洁低碳能源。</w:t>
                  </w:r>
                </w:p>
                <w:p w14:paraId="10F6FA7A">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八）推进近零碳园区和近零碳工厂试点建设。重点选择绿色产业园区、外贸出口相对集中的园区、“危污乱散低”综合治理“绿岛”园区、科创产业园区等园区类型和市级及以上绿色工厂，推进近零碳园区、近零碳工厂试点。以近零碳园区为主阵地，同步开展近零碳工厂培育和新型智能微电网、虚拟电厂等新能源应用场景推广试点。鼓励企业参与绿电、绿证交易，打造高比例可再生能源消纳示范区，推广综合能源服务，推进能源梯级利用、余热余压回收、绿色供冷供热，推动园区内源网荷储深度融合。</w:t>
                  </w:r>
                </w:p>
              </w:tc>
              <w:tc>
                <w:tcPr>
                  <w:tcW w:w="1474" w:type="pct"/>
                  <w:noWrap w:val="0"/>
                  <w:vAlign w:val="center"/>
                </w:tcPr>
                <w:p w14:paraId="742C6B02">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本项目使用清洁能源电</w:t>
                  </w:r>
                </w:p>
              </w:tc>
              <w:tc>
                <w:tcPr>
                  <w:tcW w:w="363" w:type="pct"/>
                  <w:noWrap w:val="0"/>
                  <w:vAlign w:val="center"/>
                </w:tcPr>
                <w:p w14:paraId="347F8B1F">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相符</w:t>
                  </w:r>
                </w:p>
              </w:tc>
            </w:tr>
            <w:tr w14:paraId="28E6A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1" w:type="pct"/>
                  <w:noWrap w:val="0"/>
                  <w:vAlign w:val="center"/>
                </w:tcPr>
                <w:p w14:paraId="07C46ACF">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六、强化协同减排，切实降低污染物排放强度 </w:t>
                  </w:r>
                </w:p>
                <w:p w14:paraId="287A8F74">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十五）强化VOCs全流程、全环节综合治理。鼓励储罐使用低泄漏的呼吸阀、紧急泄压阀，定期开展密封性检测。重点工业园区建立分环节、分物种管控清单，实施高排放关键活性物种“指纹化”监测监控和靶向治理。到2025年，重点工业园区VOCs浓度力争比 2021年下降20%。</w:t>
                  </w:r>
                </w:p>
                <w:p w14:paraId="1065F31A">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十六）实施重点行业超低排放与深度治理。有序推进铸造、垃圾焚烧发电、玻璃、有色、石灰、矿棉等行业深度治理。持续推进煤电机组深度脱硝改造，力争2024年底前完成单机10万千瓦及以上煤电机组深度脱硝改造任务。到2025年底，全市水泥企业基本完成超低排放改造。实施重点行业绩效等级提升行动。</w:t>
                  </w:r>
                </w:p>
                <w:p w14:paraId="5B18A6EC">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十七）推进餐饮油烟、恶臭异味专项整治。加强部门联动，因地制宜解决人民群众反映集中的油烟和恶臭扰民问题。严格居民楼附近餐饮服务单位布局管理。拟开设餐饮服务单位的建筑应设计建设专用烟道。建立重点园区“嗅辨+监测”异味溯源机制。</w:t>
                  </w:r>
                </w:p>
                <w:p w14:paraId="7ACE8E20">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420" w:firstLineChars="20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 xml:space="preserve"> （十八）推动大气氨污染防控。推广氮肥机械深施和低蛋白日粮技术。到2025 年，全市主要农作物化肥施用量2020年削减3%，畜禽粪污综合利用率稳定在 95%左右。加强氮肥、纯碱等行业大气氨排放治理。强化工业源烟气脱硫脱硝氨逃逸防控。</w:t>
                  </w:r>
                </w:p>
              </w:tc>
              <w:tc>
                <w:tcPr>
                  <w:tcW w:w="1474" w:type="pct"/>
                  <w:noWrap w:val="0"/>
                  <w:vAlign w:val="center"/>
                </w:tcPr>
                <w:p w14:paraId="61237F31">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本项目有机废气、颗粒物收集处理后达标排放，经预测不会改变区域大气环境质量现状，对区域大气环境保护目标影响较小。</w:t>
                  </w:r>
                </w:p>
              </w:tc>
              <w:tc>
                <w:tcPr>
                  <w:tcW w:w="363" w:type="pct"/>
                  <w:noWrap w:val="0"/>
                  <w:vAlign w:val="center"/>
                </w:tcPr>
                <w:p w14:paraId="3F3F972D">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bCs/>
                      <w:color w:val="auto"/>
                      <w:kern w:val="2"/>
                      <w:sz w:val="21"/>
                      <w:szCs w:val="21"/>
                      <w:highlight w:val="none"/>
                    </w:rPr>
                  </w:pPr>
                </w:p>
              </w:tc>
            </w:tr>
          </w:tbl>
          <w:p w14:paraId="1C709116">
            <w:pPr>
              <w:adjustRightInd w:val="0"/>
              <w:snapToGrid w:val="0"/>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eastAsia" w:cs="Times New Roman"/>
                <w:b/>
                <w:bCs/>
                <w:color w:val="auto"/>
                <w:sz w:val="24"/>
                <w:szCs w:val="24"/>
                <w:lang w:val="en-US" w:eastAsia="zh-CN"/>
              </w:rPr>
              <w:t>2</w:t>
            </w:r>
            <w:r>
              <w:rPr>
                <w:rFonts w:hint="default" w:ascii="Times New Roman" w:hAnsi="Times New Roman" w:eastAsia="宋体" w:cs="Times New Roman"/>
                <w:b/>
                <w:bCs/>
                <w:color w:val="auto"/>
                <w:sz w:val="24"/>
                <w:szCs w:val="24"/>
              </w:rPr>
              <w:t>、水污染防治相关文件相符性分析</w:t>
            </w:r>
          </w:p>
          <w:p w14:paraId="1344789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表1-1</w:t>
            </w:r>
            <w:r>
              <w:rPr>
                <w:rFonts w:hint="eastAsia"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与太湖相关条例相符性分析</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606"/>
              <w:gridCol w:w="3757"/>
              <w:gridCol w:w="2943"/>
              <w:gridCol w:w="676"/>
            </w:tblGrid>
            <w:tr w14:paraId="1D429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5" w:type="pct"/>
                  <w:gridSpan w:val="3"/>
                  <w:noWrap w:val="0"/>
                  <w:vAlign w:val="center"/>
                </w:tcPr>
                <w:p w14:paraId="34D8AF59">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文件相关内容</w:t>
                  </w:r>
                </w:p>
              </w:tc>
              <w:tc>
                <w:tcPr>
                  <w:tcW w:w="1589" w:type="pct"/>
                  <w:noWrap w:val="0"/>
                  <w:vAlign w:val="center"/>
                </w:tcPr>
                <w:p w14:paraId="013F91D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项目建设</w:t>
                  </w:r>
                </w:p>
              </w:tc>
              <w:tc>
                <w:tcPr>
                  <w:tcW w:w="365" w:type="pct"/>
                  <w:noWrap w:val="0"/>
                  <w:vAlign w:val="center"/>
                </w:tcPr>
                <w:p w14:paraId="7381A5E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4EDA1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5" w:type="pct"/>
                  <w:gridSpan w:val="3"/>
                  <w:noWrap w:val="0"/>
                  <w:vAlign w:val="center"/>
                </w:tcPr>
                <w:p w14:paraId="0FDB302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《省政府办公厅关于公布江苏省太湖流域三级保护区范围的通知》（苏政办发〔2012〕221号）</w:t>
                  </w:r>
                </w:p>
              </w:tc>
              <w:tc>
                <w:tcPr>
                  <w:tcW w:w="1589" w:type="pct"/>
                  <w:noWrap w:val="0"/>
                  <w:vAlign w:val="center"/>
                </w:tcPr>
                <w:p w14:paraId="3FD1DDDA">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本项目位于太湖三级保护区，严格贯彻落实《太湖流域管理条例》和《江苏省太湖水污染防治条例》中的相关条例</w:t>
                  </w:r>
                </w:p>
              </w:tc>
              <w:tc>
                <w:tcPr>
                  <w:tcW w:w="365" w:type="pct"/>
                  <w:noWrap w:val="0"/>
                  <w:vAlign w:val="center"/>
                </w:tcPr>
                <w:p w14:paraId="2ECE76E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7A0F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689" w:type="pct"/>
                  <w:vMerge w:val="restart"/>
                  <w:noWrap w:val="0"/>
                  <w:vAlign w:val="center"/>
                </w:tcPr>
                <w:p w14:paraId="25993BE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《太湖流域管理条例》（国务院令第604号）</w:t>
                  </w:r>
                </w:p>
              </w:tc>
              <w:tc>
                <w:tcPr>
                  <w:tcW w:w="327" w:type="pct"/>
                  <w:noWrap w:val="0"/>
                  <w:vAlign w:val="center"/>
                </w:tcPr>
                <w:p w14:paraId="0BAB086D">
                  <w:pPr>
                    <w:autoSpaceDE w:val="0"/>
                    <w:autoSpaceDN w:val="0"/>
                    <w:adjustRightInd w:val="0"/>
                    <w:spacing w:line="0" w:lineRule="atLeas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rPr>
                    <w:t>第二十八条</w:t>
                  </w:r>
                </w:p>
              </w:tc>
              <w:tc>
                <w:tcPr>
                  <w:tcW w:w="2029" w:type="pct"/>
                  <w:noWrap w:val="0"/>
                  <w:vAlign w:val="center"/>
                </w:tcPr>
                <w:p w14:paraId="40148E6D">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排污单位排放水污染物，不得超过经核定的水污染物排放总量，并应当按照规定设置便于检查、采样的规范化排污口，悬挂标志牌；不得私设暗管或者采取其他规避监管的方式排放水污染物。</w:t>
                  </w:r>
                </w:p>
                <w:p w14:paraId="6226CAFE">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禁止在太湖流域设置不符合国家产业政策和水环境综合治理要求的造纸、制革、酒精、淀粉、冶金、酿造、印染、电镀等排放水污染物的生产项目，现有的生产项目不能实现达标排放的，应当依法关闭。</w:t>
                  </w:r>
                </w:p>
                <w:p w14:paraId="59851A14">
                  <w:pPr>
                    <w:autoSpaceDE w:val="0"/>
                    <w:autoSpaceDN w:val="0"/>
                    <w:adjustRightInd w:val="0"/>
                    <w:spacing w:line="0" w:lineRule="atLeast"/>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在太湖流域新设企业应当符合国家规定的清洁生产要求，现有的企业尚未达到清洁生产要求的，应当按照清洁生产规划要求进行技术改造，两省一市人民政府应当加强监督检查。</w:t>
                  </w:r>
                </w:p>
              </w:tc>
              <w:tc>
                <w:tcPr>
                  <w:tcW w:w="1589" w:type="pct"/>
                  <w:vMerge w:val="restart"/>
                  <w:noWrap w:val="0"/>
                  <w:vAlign w:val="center"/>
                </w:tcPr>
                <w:p w14:paraId="7F7C2C0B">
                  <w:pPr>
                    <w:autoSpaceDE w:val="0"/>
                    <w:autoSpaceDN w:val="0"/>
                    <w:adjustRightInd w:val="0"/>
                    <w:spacing w:line="0" w:lineRule="atLeast"/>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本项目</w:t>
                  </w:r>
                  <w:r>
                    <w:rPr>
                      <w:rFonts w:hint="eastAsia" w:ascii="Times New Roman" w:hAnsi="Times New Roman" w:eastAsia="宋体" w:cs="Times New Roman"/>
                      <w:color w:val="auto"/>
                      <w:sz w:val="21"/>
                      <w:szCs w:val="21"/>
                      <w:highlight w:val="none"/>
                      <w:lang w:val="en-US" w:eastAsia="zh-CN"/>
                    </w:rPr>
                    <w:t>冷却水循环使用，不外排</w:t>
                  </w: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val="en-US" w:eastAsia="zh-CN"/>
                    </w:rPr>
                    <w:t>经市政污水管网接至</w:t>
                  </w:r>
                  <w:r>
                    <w:rPr>
                      <w:rFonts w:hint="default" w:ascii="Times New Roman" w:hAnsi="Times New Roman" w:eastAsia="宋体" w:cs="Times New Roman"/>
                      <w:color w:val="auto"/>
                      <w:sz w:val="21"/>
                      <w:szCs w:val="21"/>
                      <w:highlight w:val="none"/>
                    </w:rPr>
                    <w:t>常州市金坛儒林污水处理厂集中处理，环评中已根据本项目情况核算水污染物排放总量，实际运营过程中不会超过该核定量；本项目不属于上述禁止项目；项目建成后，将设置便于检查、采样的规范化排污口，悬挂标志牌，定期进行自行监测，监控废水排放达标情况；项目符合清洁生产要求。</w:t>
                  </w:r>
                </w:p>
              </w:tc>
              <w:tc>
                <w:tcPr>
                  <w:tcW w:w="365" w:type="pct"/>
                  <w:vMerge w:val="restart"/>
                  <w:noWrap w:val="0"/>
                  <w:vAlign w:val="center"/>
                </w:tcPr>
                <w:p w14:paraId="16462F6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65B67C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689" w:type="pct"/>
                  <w:vMerge w:val="continue"/>
                  <w:noWrap w:val="0"/>
                  <w:vAlign w:val="center"/>
                </w:tcPr>
                <w:p w14:paraId="7F5DAEA6">
                  <w:pPr>
                    <w:spacing w:line="240" w:lineRule="auto"/>
                    <w:ind w:firstLine="0" w:firstLineChars="0"/>
                    <w:jc w:val="left"/>
                    <w:rPr>
                      <w:color w:val="auto"/>
                    </w:rPr>
                  </w:pPr>
                </w:p>
              </w:tc>
              <w:tc>
                <w:tcPr>
                  <w:tcW w:w="327" w:type="pct"/>
                  <w:noWrap w:val="0"/>
                  <w:vAlign w:val="center"/>
                </w:tcPr>
                <w:p w14:paraId="26502000">
                  <w:pPr>
                    <w:autoSpaceDE w:val="0"/>
                    <w:autoSpaceDN w:val="0"/>
                    <w:adjustRightInd w:val="0"/>
                    <w:spacing w:line="0" w:lineRule="atLeas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第二十九条</w:t>
                  </w:r>
                </w:p>
              </w:tc>
              <w:tc>
                <w:tcPr>
                  <w:tcW w:w="2029" w:type="pct"/>
                  <w:noWrap w:val="0"/>
                  <w:vAlign w:val="center"/>
                </w:tcPr>
                <w:p w14:paraId="4E8C5E91">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新孟河、望虞河以外的其他主要入太湖河道，自河口1万米上溯至5万米河道岸线内及其岸线两侧各1000米范围内，禁止下列行为：</w:t>
                  </w:r>
                </w:p>
                <w:p w14:paraId="6575B85E">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（一）新建、扩建化工、医药生产项目；</w:t>
                  </w:r>
                </w:p>
                <w:p w14:paraId="103B37CC">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（二）新建、扩建污水集中处理设施排污口以外的排污口；</w:t>
                  </w:r>
                </w:p>
                <w:p w14:paraId="576A4FF4">
                  <w:pPr>
                    <w:autoSpaceDE w:val="0"/>
                    <w:autoSpaceDN w:val="0"/>
                    <w:adjustRightInd w:val="0"/>
                    <w:spacing w:line="0" w:lineRule="atLeast"/>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（三）扩大水产养殖规模。</w:t>
                  </w:r>
                </w:p>
              </w:tc>
              <w:tc>
                <w:tcPr>
                  <w:tcW w:w="1589" w:type="pct"/>
                  <w:vMerge w:val="continue"/>
                  <w:noWrap w:val="0"/>
                  <w:vAlign w:val="center"/>
                </w:tcPr>
                <w:p w14:paraId="622AB257">
                  <w:pPr>
                    <w:autoSpaceDE w:val="0"/>
                    <w:autoSpaceDN w:val="0"/>
                    <w:adjustRightInd w:val="0"/>
                    <w:spacing w:line="0" w:lineRule="atLeast"/>
                    <w:ind w:firstLine="420" w:firstLineChars="200"/>
                    <w:jc w:val="left"/>
                    <w:rPr>
                      <w:rFonts w:hint="eastAsia" w:ascii="Times New Roman" w:hAnsi="Times New Roman" w:eastAsia="宋体" w:cs="Times New Roman"/>
                      <w:color w:val="auto"/>
                      <w:sz w:val="21"/>
                      <w:szCs w:val="21"/>
                      <w:lang w:eastAsia="zh-CN"/>
                    </w:rPr>
                  </w:pPr>
                </w:p>
              </w:tc>
              <w:tc>
                <w:tcPr>
                  <w:tcW w:w="365" w:type="pct"/>
                  <w:vMerge w:val="continue"/>
                  <w:noWrap w:val="0"/>
                  <w:vAlign w:val="center"/>
                </w:tcPr>
                <w:p w14:paraId="2497E21C">
                  <w:pPr>
                    <w:spacing w:line="240" w:lineRule="auto"/>
                    <w:ind w:firstLine="0" w:firstLineChars="0"/>
                    <w:jc w:val="left"/>
                    <w:rPr>
                      <w:rFonts w:hint="default" w:ascii="Times New Roman" w:hAnsi="Times New Roman" w:eastAsia="宋体" w:cs="Times New Roman"/>
                      <w:color w:val="auto"/>
                      <w:sz w:val="21"/>
                      <w:szCs w:val="21"/>
                    </w:rPr>
                  </w:pPr>
                </w:p>
              </w:tc>
            </w:tr>
            <w:tr w14:paraId="535EA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689" w:type="pct"/>
                  <w:vMerge w:val="continue"/>
                  <w:noWrap w:val="0"/>
                  <w:vAlign w:val="center"/>
                </w:tcPr>
                <w:p w14:paraId="53D5147F">
                  <w:pPr>
                    <w:spacing w:line="240" w:lineRule="auto"/>
                    <w:ind w:firstLine="0" w:firstLineChars="0"/>
                    <w:jc w:val="left"/>
                    <w:rPr>
                      <w:rFonts w:hint="default" w:ascii="Times New Roman" w:hAnsi="Times New Roman" w:eastAsia="宋体" w:cs="Times New Roman"/>
                      <w:color w:val="auto"/>
                      <w:sz w:val="21"/>
                      <w:szCs w:val="21"/>
                    </w:rPr>
                  </w:pPr>
                </w:p>
              </w:tc>
              <w:tc>
                <w:tcPr>
                  <w:tcW w:w="327" w:type="pct"/>
                  <w:noWrap w:val="0"/>
                  <w:vAlign w:val="center"/>
                </w:tcPr>
                <w:p w14:paraId="3245A04D">
                  <w:pPr>
                    <w:autoSpaceDE w:val="0"/>
                    <w:autoSpaceDN w:val="0"/>
                    <w:adjustRightInd w:val="0"/>
                    <w:spacing w:line="0" w:lineRule="atLeas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第三十条</w:t>
                  </w:r>
                </w:p>
              </w:tc>
              <w:tc>
                <w:tcPr>
                  <w:tcW w:w="2029" w:type="pct"/>
                  <w:noWrap w:val="0"/>
                  <w:vAlign w:val="center"/>
                </w:tcPr>
                <w:p w14:paraId="140A3287">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太湖岸线内和岸线周边5000米范围内，淀山湖岸线内和岸线周边2000米范围内，太浦河、新孟河、望虞河岸线内和岸线两侧各1000米范围内，其他主要入太湖河道自河口上溯至1万米河道岸线内及其岸线两侧各1000米范围内，禁止下列行为：</w:t>
                  </w:r>
                </w:p>
                <w:p w14:paraId="5CBAD4D3">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（一）设置剧毒物质、危险化学品的贮存、输送设施和废物回收场、垃圾场；</w:t>
                  </w:r>
                </w:p>
                <w:p w14:paraId="3E9C5B4C">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（二）设置水上餐饮经营设施；</w:t>
                  </w:r>
                </w:p>
                <w:p w14:paraId="45B00B15">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（三）新建、扩建高尔夫球场；</w:t>
                  </w:r>
                </w:p>
                <w:p w14:paraId="0FA00EC4">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（四）新建、扩建畜禽养殖场；</w:t>
                  </w:r>
                </w:p>
                <w:p w14:paraId="3138F09B">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（五）新建、扩建向水体排放污染物的建设项目；</w:t>
                  </w:r>
                </w:p>
                <w:p w14:paraId="3520DBB9">
                  <w:pPr>
                    <w:autoSpaceDE w:val="0"/>
                    <w:autoSpaceDN w:val="0"/>
                    <w:adjustRightInd w:val="0"/>
                    <w:spacing w:line="0" w:lineRule="atLeas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（六）本条例第二十九条规定的行为。</w:t>
                  </w:r>
                </w:p>
                <w:p w14:paraId="766650EC">
                  <w:pPr>
                    <w:autoSpaceDE w:val="0"/>
                    <w:autoSpaceDN w:val="0"/>
                    <w:adjustRightInd w:val="0"/>
                    <w:spacing w:line="0" w:lineRule="atLeast"/>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已经设置前款第一项、第二项规定设施的，当地县级人民政府应当责令拆除或者关闭。</w:t>
                  </w:r>
                </w:p>
              </w:tc>
              <w:tc>
                <w:tcPr>
                  <w:tcW w:w="1589" w:type="pct"/>
                  <w:vMerge w:val="continue"/>
                  <w:noWrap w:val="0"/>
                  <w:vAlign w:val="center"/>
                </w:tcPr>
                <w:p w14:paraId="73D049B8">
                  <w:pPr>
                    <w:spacing w:line="0" w:lineRule="atLeast"/>
                    <w:ind w:firstLine="420" w:firstLineChars="200"/>
                    <w:jc w:val="left"/>
                    <w:rPr>
                      <w:rFonts w:hint="default" w:ascii="Times New Roman" w:hAnsi="Times New Roman" w:eastAsia="宋体" w:cs="Times New Roman"/>
                      <w:color w:val="auto"/>
                      <w:sz w:val="21"/>
                      <w:szCs w:val="21"/>
                    </w:rPr>
                  </w:pPr>
                </w:p>
              </w:tc>
              <w:tc>
                <w:tcPr>
                  <w:tcW w:w="365" w:type="pct"/>
                  <w:vMerge w:val="continue"/>
                  <w:noWrap w:val="0"/>
                  <w:vAlign w:val="center"/>
                </w:tcPr>
                <w:p w14:paraId="6D6B1288">
                  <w:pPr>
                    <w:spacing w:line="240" w:lineRule="auto"/>
                    <w:ind w:firstLine="0" w:firstLineChars="0"/>
                    <w:jc w:val="left"/>
                    <w:rPr>
                      <w:rFonts w:hint="default" w:ascii="Times New Roman" w:hAnsi="Times New Roman" w:eastAsia="宋体" w:cs="Times New Roman"/>
                      <w:color w:val="auto"/>
                      <w:sz w:val="21"/>
                      <w:szCs w:val="21"/>
                    </w:rPr>
                  </w:pPr>
                </w:p>
              </w:tc>
            </w:tr>
            <w:tr w14:paraId="74309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9" w:type="pct"/>
                  <w:noWrap w:val="0"/>
                  <w:vAlign w:val="center"/>
                </w:tcPr>
                <w:p w14:paraId="546760F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《江苏省太湖水污染防治条例》</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2021年版）</w:t>
                  </w:r>
                </w:p>
              </w:tc>
              <w:tc>
                <w:tcPr>
                  <w:tcW w:w="2356" w:type="pct"/>
                  <w:gridSpan w:val="2"/>
                  <w:noWrap w:val="0"/>
                  <w:vAlign w:val="center"/>
                </w:tcPr>
                <w:p w14:paraId="2ECE7C76">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第四十三条，太湖流域一、二、三级保护区禁止以下行为：</w:t>
                  </w:r>
                </w:p>
                <w:p w14:paraId="242F064F">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（一）新建、改建、扩建化学制浆造纸、制革、酿造、染料、印染、电镀以及其他排放含磷、氮等污染物的企业和项目，城镇污水集中处理等环境基础设施项目和第四十六条规定的情形除外；</w:t>
                  </w:r>
                </w:p>
                <w:p w14:paraId="47F19947">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（二）销售、使用含磷洗涤用品；</w:t>
                  </w:r>
                </w:p>
                <w:p w14:paraId="32CC568A">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（三）向水体排放或者倾倒油类、酸液、碱液、剧毒废渣废液、含放射性废渣废液、含病原体污水、工业废渣以及其他废弃物；</w:t>
                  </w:r>
                </w:p>
                <w:p w14:paraId="05E9D6CB">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（四）在水体清洗装贮过油类或者有毒有害污染物的车辆、船舶和容器等；</w:t>
                  </w:r>
                </w:p>
                <w:p w14:paraId="1D0BD086">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（五）使用农药等有毒物毒杀水生生物；</w:t>
                  </w:r>
                </w:p>
                <w:p w14:paraId="37D94935">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（六）向水体直接排放人畜粪便、倾倒垃圾；</w:t>
                  </w:r>
                </w:p>
                <w:p w14:paraId="08283D82">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（七）围湖造地；</w:t>
                  </w:r>
                </w:p>
                <w:p w14:paraId="70C13167">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（八）违法开山采石，或者进行破坏林木、植被、水生生物的活动；</w:t>
                  </w:r>
                </w:p>
                <w:p w14:paraId="1D3134F0">
                  <w:pPr>
                    <w:spacing w:line="240" w:lineRule="auto"/>
                    <w:ind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（九）法律、法规禁止的其他行为。</w:t>
                  </w:r>
                </w:p>
              </w:tc>
              <w:tc>
                <w:tcPr>
                  <w:tcW w:w="1589" w:type="pct"/>
                  <w:noWrap w:val="0"/>
                  <w:vAlign w:val="center"/>
                </w:tcPr>
                <w:p w14:paraId="062DA4AD">
                  <w:pPr>
                    <w:spacing w:line="240" w:lineRule="auto"/>
                    <w:ind w:firstLine="36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本项目从事</w:t>
                  </w:r>
                  <w:r>
                    <w:rPr>
                      <w:rFonts w:hint="default" w:ascii="Times New Roman" w:hAnsi="Times New Roman" w:eastAsia="宋体" w:cs="Times New Roman"/>
                      <w:color w:val="auto"/>
                      <w:sz w:val="21"/>
                      <w:szCs w:val="21"/>
                      <w:lang w:val="en-US" w:eastAsia="zh-CN"/>
                    </w:rPr>
                    <w:t>船舶配件的</w:t>
                  </w:r>
                  <w:r>
                    <w:rPr>
                      <w:rFonts w:hint="default" w:ascii="Times New Roman" w:hAnsi="Times New Roman" w:eastAsia="宋体" w:cs="Times New Roman"/>
                      <w:color w:val="auto"/>
                      <w:sz w:val="21"/>
                      <w:szCs w:val="21"/>
                    </w:rPr>
                    <w:t>生产，属于</w:t>
                  </w:r>
                  <w:r>
                    <w:rPr>
                      <w:rFonts w:hint="default" w:ascii="Times New Roman" w:hAnsi="Times New Roman" w:eastAsia="宋体" w:cs="Times New Roman"/>
                      <w:color w:val="auto"/>
                      <w:sz w:val="21"/>
                      <w:szCs w:val="21"/>
                      <w:lang w:eastAsia="zh-CN"/>
                    </w:rPr>
                    <w:t>[C</w:t>
                  </w:r>
                  <w:r>
                    <w:rPr>
                      <w:rFonts w:hint="default" w:ascii="Times New Roman" w:hAnsi="Times New Roman" w:eastAsia="宋体" w:cs="Times New Roman"/>
                      <w:color w:val="auto"/>
                      <w:sz w:val="21"/>
                      <w:szCs w:val="21"/>
                      <w:lang w:val="en-US" w:eastAsia="zh-CN"/>
                    </w:rPr>
                    <w:t>2929</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塑料零件及其他塑料制品制造</w:t>
                  </w:r>
                  <w:r>
                    <w:rPr>
                      <w:rFonts w:hint="default" w:ascii="Times New Roman" w:hAnsi="Times New Roman" w:eastAsia="宋体" w:cs="Times New Roman"/>
                      <w:color w:val="auto"/>
                      <w:sz w:val="21"/>
                      <w:szCs w:val="21"/>
                    </w:rPr>
                    <w:t>，不属于造纸、制革、酒精、淀粉、冶金、酿造、印染、电镀等行业；本项目无氮磷废水</w:t>
                  </w:r>
                  <w:r>
                    <w:rPr>
                      <w:rFonts w:hint="default" w:ascii="Times New Roman" w:hAnsi="Times New Roman" w:eastAsia="宋体" w:cs="Times New Roman"/>
                      <w:color w:val="auto"/>
                      <w:sz w:val="21"/>
                      <w:szCs w:val="21"/>
                      <w:lang w:val="en-US" w:eastAsia="zh-CN"/>
                    </w:rPr>
                    <w:t>排放，冷却用水循环使用</w:t>
                  </w:r>
                  <w:r>
                    <w:rPr>
                      <w:rFonts w:hint="default" w:ascii="Times New Roman" w:hAnsi="Times New Roman" w:eastAsia="宋体" w:cs="Times New Roman"/>
                      <w:color w:val="auto"/>
                      <w:sz w:val="21"/>
                      <w:szCs w:val="21"/>
                    </w:rPr>
                    <w:t>，生活污水达标接管至</w:t>
                  </w:r>
                  <w:r>
                    <w:rPr>
                      <w:rFonts w:hint="eastAsia" w:cs="Times New Roman"/>
                      <w:color w:val="auto"/>
                      <w:sz w:val="21"/>
                      <w:szCs w:val="21"/>
                      <w:lang w:eastAsia="zh-CN"/>
                    </w:rPr>
                    <w:t>常州市金坛儒林污水处理厂</w:t>
                  </w:r>
                  <w:r>
                    <w:rPr>
                      <w:rFonts w:hint="default" w:ascii="Times New Roman" w:hAnsi="Times New Roman" w:eastAsia="宋体" w:cs="Times New Roman"/>
                      <w:color w:val="auto"/>
                      <w:sz w:val="21"/>
                      <w:szCs w:val="21"/>
                    </w:rPr>
                    <w:t>集中处理，冷却水循环使用，不外排。本项目不属于太湖流域保护区的禁止行为，不在文件中规定的禁止建设项目之列。</w:t>
                  </w:r>
                </w:p>
              </w:tc>
              <w:tc>
                <w:tcPr>
                  <w:tcW w:w="365" w:type="pct"/>
                  <w:vMerge w:val="continue"/>
                  <w:noWrap w:val="0"/>
                  <w:vAlign w:val="center"/>
                </w:tcPr>
                <w:p w14:paraId="4E433508">
                  <w:pPr>
                    <w:ind w:firstLine="360"/>
                    <w:jc w:val="center"/>
                    <w:rPr>
                      <w:rFonts w:hint="default" w:ascii="Times New Roman" w:hAnsi="Times New Roman" w:eastAsia="宋体" w:cs="Times New Roman"/>
                      <w:color w:val="auto"/>
                      <w:sz w:val="21"/>
                      <w:szCs w:val="21"/>
                    </w:rPr>
                  </w:pPr>
                </w:p>
              </w:tc>
            </w:tr>
          </w:tbl>
          <w:p w14:paraId="4A8293E9">
            <w:pPr>
              <w:pStyle w:val="36"/>
              <w:widowControl/>
              <w:numPr>
                <w:ilvl w:val="0"/>
                <w:numId w:val="0"/>
              </w:numPr>
              <w:spacing w:line="320" w:lineRule="exact"/>
              <w:ind w:firstLine="480" w:firstLineChars="20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eastAsia" w:ascii="Times New Roman" w:hAnsi="Times New Roman" w:cs="Times New Roman"/>
                <w:b/>
                <w:bCs/>
                <w:color w:val="auto"/>
                <w:sz w:val="24"/>
                <w:szCs w:val="24"/>
                <w:lang w:val="en-US" w:eastAsia="zh-CN"/>
              </w:rPr>
              <w:t>3</w:t>
            </w:r>
            <w:r>
              <w:rPr>
                <w:rFonts w:hint="default" w:ascii="Times New Roman" w:hAnsi="Times New Roman" w:eastAsia="宋体" w:cs="Times New Roman"/>
                <w:b/>
                <w:bCs/>
                <w:color w:val="auto"/>
                <w:sz w:val="24"/>
                <w:szCs w:val="24"/>
              </w:rPr>
              <w:t>、与</w:t>
            </w:r>
            <w:r>
              <w:rPr>
                <w:rFonts w:hint="default" w:ascii="Times New Roman" w:hAnsi="Times New Roman" w:eastAsia="宋体" w:cs="Times New Roman"/>
                <w:b/>
                <w:bCs/>
                <w:color w:val="auto"/>
                <w:sz w:val="24"/>
                <w:szCs w:val="24"/>
                <w:lang w:eastAsia="zh-CN"/>
              </w:rPr>
              <w:t>《关于加强重点行业涉新污染物建设项目环境影响评价工作的意见》（环环评【2025】28号）</w:t>
            </w:r>
            <w:r>
              <w:rPr>
                <w:rFonts w:hint="default" w:ascii="Times New Roman" w:hAnsi="Times New Roman" w:eastAsia="宋体" w:cs="Times New Roman"/>
                <w:b/>
                <w:bCs/>
                <w:color w:val="auto"/>
                <w:sz w:val="24"/>
                <w:szCs w:val="24"/>
              </w:rPr>
              <w:t>符合性分析</w:t>
            </w:r>
          </w:p>
          <w:p w14:paraId="2AB4484E">
            <w:pPr>
              <w:pStyle w:val="40"/>
              <w:spacing w:before="0" w:beforeAutospacing="0" w:after="0" w:afterAutospacing="0"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ascii="Times New Roman" w:hAnsi="Times New Roman" w:cs="Times New Roman"/>
                <w:b/>
                <w:bCs/>
                <w:color w:val="auto"/>
                <w:sz w:val="21"/>
                <w:szCs w:val="21"/>
                <w:lang w:val="en-US" w:eastAsia="zh-CN"/>
              </w:rPr>
              <w:t>17</w:t>
            </w:r>
            <w:r>
              <w:rPr>
                <w:rFonts w:hint="default" w:ascii="Times New Roman" w:hAnsi="Times New Roman" w:eastAsia="宋体" w:cs="Times New Roman"/>
                <w:b/>
                <w:bCs/>
                <w:color w:val="auto"/>
                <w:sz w:val="21"/>
                <w:szCs w:val="21"/>
              </w:rPr>
              <w:t xml:space="preserve"> 与</w:t>
            </w:r>
            <w:r>
              <w:rPr>
                <w:rFonts w:hint="default" w:ascii="Times New Roman" w:hAnsi="Times New Roman" w:eastAsia="宋体" w:cs="Times New Roman"/>
                <w:b/>
                <w:bCs/>
                <w:color w:val="auto"/>
                <w:sz w:val="21"/>
                <w:szCs w:val="21"/>
                <w:lang w:eastAsia="zh-CN"/>
              </w:rPr>
              <w:t>环环评【2025】28号</w:t>
            </w:r>
            <w:r>
              <w:rPr>
                <w:rFonts w:hint="default" w:ascii="Times New Roman" w:hAnsi="Times New Roman" w:eastAsia="宋体" w:cs="Times New Roman"/>
                <w:b/>
                <w:bCs/>
                <w:color w:val="auto"/>
                <w:sz w:val="21"/>
                <w:szCs w:val="21"/>
              </w:rPr>
              <w:t>的符合性分析</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833"/>
              <w:gridCol w:w="5243"/>
              <w:gridCol w:w="2512"/>
              <w:gridCol w:w="677"/>
            </w:tblGrid>
            <w:tr w14:paraId="1D2A4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450" w:type="pct"/>
                  <w:tcBorders>
                    <w:tl2br w:val="nil"/>
                    <w:tr2bl w:val="nil"/>
                  </w:tcBorders>
                  <w:noWrap w:val="0"/>
                  <w:vAlign w:val="center"/>
                </w:tcPr>
                <w:p w14:paraId="66E46EA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2828" w:type="pct"/>
                  <w:tcBorders>
                    <w:tl2br w:val="nil"/>
                    <w:tr2bl w:val="nil"/>
                  </w:tcBorders>
                  <w:noWrap w:val="0"/>
                  <w:vAlign w:val="center"/>
                </w:tcPr>
                <w:p w14:paraId="6844659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w:t>
                  </w:r>
                </w:p>
              </w:tc>
              <w:tc>
                <w:tcPr>
                  <w:tcW w:w="1355" w:type="pct"/>
                  <w:tcBorders>
                    <w:tl2br w:val="nil"/>
                    <w:tr2bl w:val="nil"/>
                  </w:tcBorders>
                  <w:noWrap w:val="0"/>
                  <w:vAlign w:val="center"/>
                </w:tcPr>
                <w:p w14:paraId="57E14AB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365" w:type="pct"/>
                  <w:tcBorders>
                    <w:tl2br w:val="nil"/>
                    <w:tr2bl w:val="nil"/>
                  </w:tcBorders>
                  <w:noWrap w:val="0"/>
                  <w:vAlign w:val="center"/>
                </w:tcPr>
                <w:p w14:paraId="1485861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相符性</w:t>
                  </w:r>
                </w:p>
              </w:tc>
            </w:tr>
            <w:tr w14:paraId="23E93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53" w:hRule="atLeast"/>
                <w:jc w:val="center"/>
              </w:trPr>
              <w:tc>
                <w:tcPr>
                  <w:tcW w:w="450" w:type="pct"/>
                  <w:tcBorders>
                    <w:tl2br w:val="nil"/>
                    <w:tr2bl w:val="nil"/>
                  </w:tcBorders>
                  <w:noWrap w:val="0"/>
                  <w:vAlign w:val="center"/>
                </w:tcPr>
                <w:p w14:paraId="0BB72F71">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禁止审批不符合新污染物管控要求的建设项目</w:t>
                  </w:r>
                </w:p>
              </w:tc>
              <w:tc>
                <w:tcPr>
                  <w:tcW w:w="2828" w:type="pct"/>
                  <w:tcBorders>
                    <w:tl2br w:val="nil"/>
                    <w:tr2bl w:val="nil"/>
                  </w:tcBorders>
                  <w:noWrap w:val="0"/>
                  <w:vAlign w:val="center"/>
                </w:tcPr>
                <w:p w14:paraId="5936418F">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各级环评审批部门在受理和审批建设项目环评文件时，应落实重点管控新污染物清单、产业结构调整指导目录、《斯德哥尔摩公约》、生态环境分区管控方案和项目所在园区规划环评等有关管控要求。对照不予审批环评的项目类别（见附表），严格审核建设项目原辅材料和产品，对于以禁止生产、加工使用的新污染物作为原辅料或产品的建设项目，依法不予审批。</w:t>
                  </w:r>
                </w:p>
              </w:tc>
              <w:tc>
                <w:tcPr>
                  <w:tcW w:w="1355" w:type="pct"/>
                  <w:tcBorders>
                    <w:tl2br w:val="nil"/>
                    <w:tr2bl w:val="nil"/>
                  </w:tcBorders>
                  <w:noWrap w:val="0"/>
                  <w:vAlign w:val="center"/>
                </w:tcPr>
                <w:p w14:paraId="57D8A342">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本项目不属于不予审批环评的项目类别。本项目不属于</w:t>
                  </w:r>
                  <w:r>
                    <w:rPr>
                      <w:rFonts w:hint="default" w:ascii="Times New Roman" w:hAnsi="Times New Roman" w:eastAsia="宋体" w:cs="Times New Roman"/>
                      <w:color w:val="auto"/>
                      <w:kern w:val="2"/>
                      <w:sz w:val="21"/>
                      <w:szCs w:val="21"/>
                      <w:highlight w:val="none"/>
                      <w:lang w:eastAsia="zh-CN"/>
                    </w:rPr>
                    <w:t>生产、加工使用的新污染物作为原辅料或产品的建设项目</w:t>
                  </w:r>
                  <w:r>
                    <w:rPr>
                      <w:rFonts w:hint="default" w:ascii="Times New Roman" w:hAnsi="Times New Roman" w:eastAsia="宋体" w:cs="Times New Roman"/>
                      <w:color w:val="auto"/>
                      <w:kern w:val="2"/>
                      <w:sz w:val="21"/>
                      <w:szCs w:val="21"/>
                      <w:highlight w:val="none"/>
                      <w:lang w:val="en-US" w:eastAsia="zh-CN"/>
                    </w:rPr>
                    <w:t>。</w:t>
                  </w:r>
                </w:p>
              </w:tc>
              <w:tc>
                <w:tcPr>
                  <w:tcW w:w="365" w:type="pct"/>
                  <w:tcBorders>
                    <w:tl2br w:val="nil"/>
                    <w:tr2bl w:val="nil"/>
                  </w:tcBorders>
                  <w:noWrap w:val="0"/>
                  <w:vAlign w:val="center"/>
                </w:tcPr>
                <w:p w14:paraId="518710C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024B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restart"/>
                  <w:tcBorders>
                    <w:tl2br w:val="nil"/>
                    <w:tr2bl w:val="nil"/>
                  </w:tcBorders>
                  <w:noWrap w:val="0"/>
                  <w:vAlign w:val="center"/>
                </w:tcPr>
                <w:p w14:paraId="26DB7B97">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加强重点行业涉新污染物建设项目环评</w:t>
                  </w:r>
                </w:p>
              </w:tc>
              <w:tc>
                <w:tcPr>
                  <w:tcW w:w="2828" w:type="pct"/>
                  <w:tcBorders>
                    <w:tl2br w:val="nil"/>
                    <w:tr2bl w:val="nil"/>
                  </w:tcBorders>
                  <w:noWrap w:val="0"/>
                  <w:vAlign w:val="center"/>
                </w:tcPr>
                <w:p w14:paraId="71247F34">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一）优化原料、工艺和治理措施，从源头减少新污染物产生。建设项目应尽可能开发、使用低毒低害和无毒无害原料，减少产品中有毒有害物质含量；应采用清洁的生产工艺，提高资源利用率，从源头避免或削减新污染物产生。强化治理措施，已有污染防治技术的新污染物，应采取可行污染防治技术，加大治理力度，减轻新污染物排放对环境的影响。鼓励建设项目开展有毒有害化学物质绿色替代、新污染物减排以及污水污泥、废液废渣中新污染物治理等技术示范。</w:t>
                  </w:r>
                </w:p>
              </w:tc>
              <w:tc>
                <w:tcPr>
                  <w:tcW w:w="1355" w:type="pct"/>
                  <w:tcBorders>
                    <w:tl2br w:val="nil"/>
                    <w:tr2bl w:val="nil"/>
                  </w:tcBorders>
                  <w:noWrap w:val="0"/>
                  <w:vAlign w:val="center"/>
                </w:tcPr>
                <w:p w14:paraId="1D109956">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本项目废气采用可行</w:t>
                  </w:r>
                  <w:r>
                    <w:rPr>
                      <w:rFonts w:hint="default" w:ascii="Times New Roman" w:hAnsi="Times New Roman" w:eastAsia="宋体" w:cs="Times New Roman"/>
                      <w:color w:val="auto"/>
                      <w:kern w:val="2"/>
                      <w:sz w:val="21"/>
                      <w:szCs w:val="21"/>
                      <w:highlight w:val="none"/>
                      <w:lang w:eastAsia="zh-CN"/>
                    </w:rPr>
                    <w:t>污染防治技术，减轻新污染物排放对环境的影响。</w:t>
                  </w:r>
                </w:p>
              </w:tc>
              <w:tc>
                <w:tcPr>
                  <w:tcW w:w="365" w:type="pct"/>
                  <w:tcBorders>
                    <w:tl2br w:val="nil"/>
                    <w:tr2bl w:val="nil"/>
                  </w:tcBorders>
                  <w:noWrap w:val="0"/>
                  <w:vAlign w:val="center"/>
                </w:tcPr>
                <w:p w14:paraId="493BD58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8029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continue"/>
                  <w:tcBorders>
                    <w:tl2br w:val="nil"/>
                    <w:tr2bl w:val="nil"/>
                  </w:tcBorders>
                  <w:noWrap w:val="0"/>
                  <w:vAlign w:val="center"/>
                </w:tcPr>
                <w:p w14:paraId="704BED37">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p>
              </w:tc>
              <w:tc>
                <w:tcPr>
                  <w:tcW w:w="2828" w:type="pct"/>
                  <w:tcBorders>
                    <w:tl2br w:val="nil"/>
                    <w:tr2bl w:val="nil"/>
                  </w:tcBorders>
                  <w:noWrap w:val="0"/>
                  <w:vAlign w:val="center"/>
                </w:tcPr>
                <w:p w14:paraId="5DF1D5DE">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二）核算新污染物产排污情况。环评文件应给出所有列入重点管控新污染物清单、有毒有害污染物名录和优先控制化学品名录的化学物质生产或使用的数量、品种、用途，涉及化学反应的，分析主副反应中新污染物的迁移转化情况；将涉及的新污染物纳入评价因子；核算各环节新污染物的产生和排放情况。改建、扩建项目还应梳理现有工程新污染物排放情况，鼓励采用靶向及非靶向检测技术对废水、废气及废渣中的新污染物进行筛查。</w:t>
                  </w:r>
                </w:p>
              </w:tc>
              <w:tc>
                <w:tcPr>
                  <w:tcW w:w="1355" w:type="pct"/>
                  <w:tcBorders>
                    <w:tl2br w:val="nil"/>
                    <w:tr2bl w:val="nil"/>
                  </w:tcBorders>
                  <w:noWrap w:val="0"/>
                  <w:vAlign w:val="center"/>
                </w:tcPr>
                <w:p w14:paraId="193FAF8B">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本项目不涉及</w:t>
                  </w:r>
                  <w:r>
                    <w:rPr>
                      <w:rFonts w:hint="default" w:ascii="Times New Roman" w:hAnsi="Times New Roman" w:eastAsia="宋体" w:cs="Times New Roman"/>
                      <w:color w:val="auto"/>
                      <w:kern w:val="2"/>
                      <w:sz w:val="21"/>
                      <w:szCs w:val="21"/>
                      <w:highlight w:val="none"/>
                      <w:lang w:eastAsia="zh-CN"/>
                    </w:rPr>
                    <w:t>列入重点管控新污染物</w:t>
                  </w:r>
                  <w:r>
                    <w:rPr>
                      <w:rFonts w:hint="default" w:ascii="Times New Roman" w:hAnsi="Times New Roman" w:eastAsia="宋体" w:cs="Times New Roman"/>
                      <w:color w:val="auto"/>
                      <w:kern w:val="2"/>
                      <w:sz w:val="21"/>
                      <w:szCs w:val="21"/>
                      <w:highlight w:val="none"/>
                      <w:lang w:val="en-US" w:eastAsia="zh-CN"/>
                    </w:rPr>
                    <w:t>。</w:t>
                  </w:r>
                </w:p>
              </w:tc>
              <w:tc>
                <w:tcPr>
                  <w:tcW w:w="365" w:type="pct"/>
                  <w:tcBorders>
                    <w:tl2br w:val="nil"/>
                    <w:tr2bl w:val="nil"/>
                  </w:tcBorders>
                  <w:noWrap w:val="0"/>
                  <w:vAlign w:val="center"/>
                </w:tcPr>
                <w:p w14:paraId="2A3B0E2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E1E4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continue"/>
                  <w:tcBorders>
                    <w:tl2br w:val="nil"/>
                    <w:tr2bl w:val="nil"/>
                  </w:tcBorders>
                  <w:noWrap w:val="0"/>
                  <w:vAlign w:val="center"/>
                </w:tcPr>
                <w:p w14:paraId="61C47DD4">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p>
              </w:tc>
              <w:tc>
                <w:tcPr>
                  <w:tcW w:w="2828" w:type="pct"/>
                  <w:tcBorders>
                    <w:tl2br w:val="nil"/>
                    <w:tr2bl w:val="nil"/>
                  </w:tcBorders>
                  <w:noWrap w:val="0"/>
                  <w:vAlign w:val="center"/>
                </w:tcPr>
                <w:p w14:paraId="3F0CA927">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三）对已发布污染物排放标准的新污染物严格排放达标要求。新建项目产生并排放已有排放标准新污染物的，应采取措施确保排放达标。涉及新污染物排放的改建、扩建项目，应对现有项目废气、废水排放口新污染物排放情况进行监测，对排放不能达标的，应提出整改措施。对可能涉及新污染物的废母液、精馏残渣、抗生素菌渣、废反应基和废培养基、污泥等固体废物，应根据国家危险废物名录进行判定，未列入名录的固体废物应提出项目运行后按危险废物鉴别标准进行鉴别的要求，属于危险废物的按照危险废物污染环境防治相关要求进行管理。对涉及新污染物的生产、贮存、运输、处置等装置、设备设施及场所，应按相关国家标准提出防腐蚀、防渗漏、防扬散等土壤和地下水污染防治措施。</w:t>
                  </w:r>
                </w:p>
              </w:tc>
              <w:tc>
                <w:tcPr>
                  <w:tcW w:w="1355" w:type="pct"/>
                  <w:tcBorders>
                    <w:tl2br w:val="nil"/>
                    <w:tr2bl w:val="nil"/>
                  </w:tcBorders>
                  <w:noWrap w:val="0"/>
                  <w:vAlign w:val="center"/>
                </w:tcPr>
                <w:p w14:paraId="7ECA7CDD">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本项目不涉及</w:t>
                  </w:r>
                  <w:r>
                    <w:rPr>
                      <w:rFonts w:hint="default" w:ascii="Times New Roman" w:hAnsi="Times New Roman" w:eastAsia="宋体" w:cs="Times New Roman"/>
                      <w:color w:val="auto"/>
                      <w:kern w:val="2"/>
                      <w:sz w:val="21"/>
                      <w:szCs w:val="21"/>
                      <w:highlight w:val="none"/>
                      <w:lang w:eastAsia="zh-CN"/>
                    </w:rPr>
                    <w:t>列入重点管控新污染物</w:t>
                  </w:r>
                  <w:r>
                    <w:rPr>
                      <w:rFonts w:hint="default" w:ascii="Times New Roman" w:hAnsi="Times New Roman" w:eastAsia="宋体" w:cs="Times New Roman"/>
                      <w:color w:val="auto"/>
                      <w:kern w:val="2"/>
                      <w:sz w:val="21"/>
                      <w:szCs w:val="21"/>
                      <w:highlight w:val="none"/>
                      <w:lang w:val="en-US" w:eastAsia="zh-CN"/>
                    </w:rPr>
                    <w:t>。项目建成后进行定期监测。本项目车间实施</w:t>
                  </w:r>
                  <w:r>
                    <w:rPr>
                      <w:rFonts w:hint="default" w:ascii="Times New Roman" w:hAnsi="Times New Roman" w:eastAsia="宋体" w:cs="Times New Roman"/>
                      <w:color w:val="auto"/>
                      <w:kern w:val="2"/>
                      <w:sz w:val="21"/>
                      <w:szCs w:val="21"/>
                      <w:highlight w:val="none"/>
                      <w:lang w:eastAsia="zh-CN"/>
                    </w:rPr>
                    <w:t>防腐蚀、防渗漏、防扬散</w:t>
                  </w:r>
                  <w:r>
                    <w:rPr>
                      <w:rFonts w:hint="default" w:ascii="Times New Roman" w:hAnsi="Times New Roman" w:eastAsia="宋体" w:cs="Times New Roman"/>
                      <w:color w:val="auto"/>
                      <w:kern w:val="2"/>
                      <w:sz w:val="21"/>
                      <w:szCs w:val="21"/>
                      <w:highlight w:val="none"/>
                      <w:lang w:val="en-US" w:eastAsia="zh-CN"/>
                    </w:rPr>
                    <w:t>等措施。</w:t>
                  </w:r>
                </w:p>
              </w:tc>
              <w:tc>
                <w:tcPr>
                  <w:tcW w:w="365" w:type="pct"/>
                  <w:tcBorders>
                    <w:tl2br w:val="nil"/>
                    <w:tr2bl w:val="nil"/>
                  </w:tcBorders>
                  <w:noWrap w:val="0"/>
                  <w:vAlign w:val="center"/>
                </w:tcPr>
                <w:p w14:paraId="0ABE188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4EB5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continue"/>
                  <w:tcBorders>
                    <w:tl2br w:val="nil"/>
                    <w:tr2bl w:val="nil"/>
                  </w:tcBorders>
                  <w:noWrap w:val="0"/>
                  <w:vAlign w:val="center"/>
                </w:tcPr>
                <w:p w14:paraId="3EE46468">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p>
              </w:tc>
              <w:tc>
                <w:tcPr>
                  <w:tcW w:w="2828" w:type="pct"/>
                  <w:tcBorders>
                    <w:tl2br w:val="nil"/>
                    <w:tr2bl w:val="nil"/>
                  </w:tcBorders>
                  <w:noWrap w:val="0"/>
                  <w:vAlign w:val="center"/>
                </w:tcPr>
                <w:p w14:paraId="37868F25">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四）对环境质量标准规定的新污染物做好环境质量现状和影响评价。建设项目现状评价因子和预测评价因子筛选应考虑涉及的新污染物，充分利用国家和地方新污染物环境监测试点成果，收集评价范围内和建设项目相关的新污染物环境质量历史监测资料（包括环境空气、周边地表水体及相应底泥/沉积物、土壤和地下水、周边海域海水及沉积物/生物体等），没有相关监测数据的，进行补充监测。对环境质量标准规定的新污染物，根据相关环境质量标准进行现状评价，环境质量标准未规定但已有环境监测方法标准的，应给出监测值。将相应已有环境质量标准的新污染物纳入环境影响预测因子并预测评价其环境影响。</w:t>
                  </w:r>
                </w:p>
              </w:tc>
              <w:tc>
                <w:tcPr>
                  <w:tcW w:w="1355" w:type="pct"/>
                  <w:tcBorders>
                    <w:tl2br w:val="nil"/>
                    <w:tr2bl w:val="nil"/>
                  </w:tcBorders>
                  <w:noWrap w:val="0"/>
                  <w:vAlign w:val="center"/>
                </w:tcPr>
                <w:p w14:paraId="66D4112E">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本项目不涉及</w:t>
                  </w:r>
                  <w:r>
                    <w:rPr>
                      <w:rFonts w:hint="default" w:ascii="Times New Roman" w:hAnsi="Times New Roman" w:eastAsia="宋体" w:cs="Times New Roman"/>
                      <w:color w:val="auto"/>
                      <w:kern w:val="2"/>
                      <w:sz w:val="21"/>
                      <w:szCs w:val="21"/>
                      <w:highlight w:val="none"/>
                      <w:lang w:eastAsia="zh-CN"/>
                    </w:rPr>
                    <w:t>列入重点管控新污染物</w:t>
                  </w:r>
                  <w:r>
                    <w:rPr>
                      <w:rFonts w:hint="default" w:ascii="Times New Roman" w:hAnsi="Times New Roman" w:eastAsia="宋体" w:cs="Times New Roman"/>
                      <w:color w:val="auto"/>
                      <w:kern w:val="2"/>
                      <w:sz w:val="21"/>
                      <w:szCs w:val="21"/>
                      <w:highlight w:val="none"/>
                      <w:lang w:val="en-US" w:eastAsia="zh-CN"/>
                    </w:rPr>
                    <w:t>。</w:t>
                  </w:r>
                </w:p>
              </w:tc>
              <w:tc>
                <w:tcPr>
                  <w:tcW w:w="365" w:type="pct"/>
                  <w:tcBorders>
                    <w:tl2br w:val="nil"/>
                    <w:tr2bl w:val="nil"/>
                  </w:tcBorders>
                  <w:noWrap w:val="0"/>
                  <w:vAlign w:val="center"/>
                </w:tcPr>
                <w:p w14:paraId="40D74BA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88C0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continue"/>
                  <w:tcBorders>
                    <w:tl2br w:val="nil"/>
                    <w:tr2bl w:val="nil"/>
                  </w:tcBorders>
                  <w:noWrap w:val="0"/>
                  <w:vAlign w:val="center"/>
                </w:tcPr>
                <w:p w14:paraId="6B10E2F9">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p>
              </w:tc>
              <w:tc>
                <w:tcPr>
                  <w:tcW w:w="2828" w:type="pct"/>
                  <w:tcBorders>
                    <w:tl2br w:val="nil"/>
                    <w:tr2bl w:val="nil"/>
                  </w:tcBorders>
                  <w:noWrap w:val="0"/>
                  <w:vAlign w:val="center"/>
                </w:tcPr>
                <w:p w14:paraId="6D3557E3">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五）强化新污染物排放情况跟踪监测。应在涉及新污染物的建设项目环评文件中，明确提出将相应的新污染物纳入监测计划要求；对既未发布污染物排放标准，也无污染防治技术，但已有环境监测方法标准的新污染物，应加强日常监控和监测，掌握新污染物排放情况。将周边环境的相应新污染物监测纳入环境监测计划，做好跟踪监测。</w:t>
                  </w:r>
                </w:p>
              </w:tc>
              <w:tc>
                <w:tcPr>
                  <w:tcW w:w="1355" w:type="pct"/>
                  <w:tcBorders>
                    <w:tl2br w:val="nil"/>
                    <w:tr2bl w:val="nil"/>
                  </w:tcBorders>
                  <w:noWrap w:val="0"/>
                  <w:vAlign w:val="center"/>
                </w:tcPr>
                <w:p w14:paraId="16157F52">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本项目不涉及</w:t>
                  </w:r>
                  <w:r>
                    <w:rPr>
                      <w:rFonts w:hint="default" w:ascii="Times New Roman" w:hAnsi="Times New Roman" w:eastAsia="宋体" w:cs="Times New Roman"/>
                      <w:color w:val="auto"/>
                      <w:kern w:val="2"/>
                      <w:sz w:val="21"/>
                      <w:szCs w:val="21"/>
                      <w:highlight w:val="none"/>
                      <w:lang w:eastAsia="zh-CN"/>
                    </w:rPr>
                    <w:t>列入重点管控新污染物</w:t>
                  </w:r>
                  <w:r>
                    <w:rPr>
                      <w:rFonts w:hint="default" w:ascii="Times New Roman" w:hAnsi="Times New Roman" w:eastAsia="宋体" w:cs="Times New Roman"/>
                      <w:color w:val="auto"/>
                      <w:kern w:val="2"/>
                      <w:sz w:val="21"/>
                      <w:szCs w:val="21"/>
                      <w:highlight w:val="none"/>
                      <w:lang w:val="en-US" w:eastAsia="zh-CN"/>
                    </w:rPr>
                    <w:t>。</w:t>
                  </w:r>
                </w:p>
              </w:tc>
              <w:tc>
                <w:tcPr>
                  <w:tcW w:w="365" w:type="pct"/>
                  <w:tcBorders>
                    <w:tl2br w:val="nil"/>
                    <w:tr2bl w:val="nil"/>
                  </w:tcBorders>
                  <w:noWrap w:val="0"/>
                  <w:vAlign w:val="center"/>
                </w:tcPr>
                <w:p w14:paraId="4168A90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30EC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vMerge w:val="continue"/>
                  <w:tcBorders>
                    <w:tl2br w:val="nil"/>
                    <w:tr2bl w:val="nil"/>
                  </w:tcBorders>
                  <w:noWrap w:val="0"/>
                  <w:vAlign w:val="center"/>
                </w:tcPr>
                <w:p w14:paraId="30679216">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p>
              </w:tc>
              <w:tc>
                <w:tcPr>
                  <w:tcW w:w="2828" w:type="pct"/>
                  <w:tcBorders>
                    <w:tl2br w:val="nil"/>
                    <w:tr2bl w:val="nil"/>
                  </w:tcBorders>
                  <w:noWrap w:val="0"/>
                  <w:vAlign w:val="center"/>
                </w:tcPr>
                <w:p w14:paraId="3D8DDE68">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六）提出新化学物质环境管理登记要求。对照《中国现有化学物质名录》，原辅材料或产品属于新化学物质的，或将实施新用途环境管理的现有化学物质，用于允许用途以外的其他工业用途的，应在环评文件中提出按相关规定办理新化学物质环境管理登记的要求。</w:t>
                  </w:r>
                </w:p>
              </w:tc>
              <w:tc>
                <w:tcPr>
                  <w:tcW w:w="1355" w:type="pct"/>
                  <w:tcBorders>
                    <w:tl2br w:val="nil"/>
                    <w:tr2bl w:val="nil"/>
                  </w:tcBorders>
                  <w:noWrap w:val="0"/>
                  <w:vAlign w:val="center"/>
                </w:tcPr>
                <w:p w14:paraId="1E53207B">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本项目原辅材料、产品不属于</w:t>
                  </w:r>
                  <w:r>
                    <w:rPr>
                      <w:rFonts w:hint="default" w:ascii="Times New Roman" w:hAnsi="Times New Roman" w:eastAsia="宋体" w:cs="Times New Roman"/>
                      <w:color w:val="auto"/>
                      <w:kern w:val="2"/>
                      <w:sz w:val="21"/>
                      <w:szCs w:val="21"/>
                      <w:highlight w:val="none"/>
                      <w:lang w:eastAsia="zh-CN"/>
                    </w:rPr>
                    <w:t>新化学物质。</w:t>
                  </w:r>
                </w:p>
              </w:tc>
              <w:tc>
                <w:tcPr>
                  <w:tcW w:w="365" w:type="pct"/>
                  <w:tcBorders>
                    <w:tl2br w:val="nil"/>
                    <w:tr2bl w:val="nil"/>
                  </w:tcBorders>
                  <w:noWrap w:val="0"/>
                  <w:vAlign w:val="center"/>
                </w:tcPr>
                <w:p w14:paraId="1F3664E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7560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450" w:type="pct"/>
                  <w:tcBorders>
                    <w:tl2br w:val="nil"/>
                    <w:tr2bl w:val="nil"/>
                  </w:tcBorders>
                  <w:noWrap w:val="0"/>
                  <w:vAlign w:val="center"/>
                </w:tcPr>
                <w:p w14:paraId="1F117BD7">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将新污染物管控要求依法纳入排污许可管理</w:t>
                  </w:r>
                </w:p>
              </w:tc>
              <w:tc>
                <w:tcPr>
                  <w:tcW w:w="2828" w:type="pct"/>
                  <w:tcBorders>
                    <w:tl2br w:val="nil"/>
                    <w:tr2bl w:val="nil"/>
                  </w:tcBorders>
                  <w:noWrap w:val="0"/>
                  <w:vAlign w:val="center"/>
                </w:tcPr>
                <w:p w14:paraId="0F2131DE">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生态环境部门依法核发排污许可证时，石化、涂料、纺织印染、橡胶、农药、医药等行业应按照排污许可证申请与核发技术规范，载明排放标准中规定的新污染物排放限值和自行监测要求；按照环评文件及批复，载明新污染物控制措施要求。生态环境部门应当按排污许可证规定，对新污染物管控要求落实情况开展执法监管。</w:t>
                  </w:r>
                </w:p>
              </w:tc>
              <w:tc>
                <w:tcPr>
                  <w:tcW w:w="1355" w:type="pct"/>
                  <w:tcBorders>
                    <w:tl2br w:val="nil"/>
                    <w:tr2bl w:val="nil"/>
                  </w:tcBorders>
                  <w:noWrap w:val="0"/>
                  <w:vAlign w:val="center"/>
                </w:tcPr>
                <w:p w14:paraId="3F92E3F1">
                  <w:pPr>
                    <w:pStyle w:val="2"/>
                    <w:keepNext w:val="0"/>
                    <w:keepLines w:val="0"/>
                    <w:pageBreakBefore w:val="0"/>
                    <w:widowControl w:val="0"/>
                    <w:kinsoku/>
                    <w:wordWrap/>
                    <w:overflowPunct/>
                    <w:topLinePunct w:val="0"/>
                    <w:autoSpaceDE/>
                    <w:autoSpaceDN/>
                    <w:bidi w:val="0"/>
                    <w:adjustRightInd/>
                    <w:snapToGrid/>
                    <w:spacing w:before="0" w:after="0" w:line="240" w:lineRule="auto"/>
                    <w:ind w:right="0" w:firstLine="0" w:firstLineChars="0"/>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本项目按照</w:t>
                  </w:r>
                  <w:r>
                    <w:rPr>
                      <w:rFonts w:hint="default" w:ascii="Times New Roman" w:hAnsi="Times New Roman" w:eastAsia="宋体" w:cs="Times New Roman"/>
                      <w:color w:val="auto"/>
                      <w:kern w:val="2"/>
                      <w:sz w:val="21"/>
                      <w:szCs w:val="21"/>
                      <w:highlight w:val="none"/>
                      <w:lang w:eastAsia="zh-CN"/>
                    </w:rPr>
                    <w:t>按照排污许可证申请与核发技术规范，载明排放标准中规定的新污染物排放限值和自行监测要求，载明新污染物控制措施要求</w:t>
                  </w:r>
                </w:p>
              </w:tc>
              <w:tc>
                <w:tcPr>
                  <w:tcW w:w="365" w:type="pct"/>
                  <w:tcBorders>
                    <w:tl2br w:val="nil"/>
                    <w:tr2bl w:val="nil"/>
                  </w:tcBorders>
                  <w:noWrap w:val="0"/>
                  <w:vAlign w:val="center"/>
                </w:tcPr>
                <w:p w14:paraId="55386D5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40A10956">
            <w:pPr>
              <w:pStyle w:val="36"/>
              <w:rPr>
                <w:rFonts w:hint="default" w:ascii="Times New Roman" w:hAnsi="Times New Roman" w:eastAsia="宋体" w:cs="Times New Roman"/>
                <w:color w:val="auto"/>
                <w:lang w:eastAsia="zh-CN"/>
              </w:rPr>
            </w:pPr>
          </w:p>
          <w:p w14:paraId="5A7F8EB8">
            <w:pPr>
              <w:ind w:left="0" w:leftChars="0" w:firstLine="0" w:firstLineChars="0"/>
              <w:rPr>
                <w:rFonts w:hint="default" w:ascii="Times New Roman" w:hAnsi="Times New Roman" w:eastAsia="宋体" w:cs="Times New Roman"/>
                <w:color w:val="auto"/>
                <w:lang w:eastAsia="zh-CN"/>
              </w:rPr>
            </w:pPr>
          </w:p>
          <w:p w14:paraId="47F87C24">
            <w:pPr>
              <w:rPr>
                <w:rFonts w:hint="default" w:ascii="Times New Roman" w:hAnsi="Times New Roman" w:eastAsia="宋体" w:cs="Times New Roman"/>
                <w:color w:val="auto"/>
                <w:lang w:eastAsia="zh-CN"/>
              </w:rPr>
            </w:pPr>
          </w:p>
        </w:tc>
      </w:tr>
    </w:tbl>
    <w:p w14:paraId="22957A40">
      <w:pPr>
        <w:pStyle w:val="2"/>
        <w:ind w:left="0" w:leftChars="0" w:firstLine="0" w:firstLineChars="0"/>
        <w:rPr>
          <w:rFonts w:hint="default" w:ascii="Times New Roman" w:hAnsi="Times New Roman" w:eastAsia="宋体" w:cs="Times New Roman"/>
          <w:color w:val="auto"/>
        </w:rPr>
        <w:sectPr>
          <w:pgSz w:w="11907" w:h="16840"/>
          <w:pgMar w:top="1588" w:right="1418" w:bottom="1588" w:left="1418" w:header="964" w:footer="964" w:gutter="0"/>
          <w:pgBorders w:offsetFrom="page">
            <w:top w:val="none" w:sz="0" w:space="0"/>
            <w:left w:val="none" w:sz="0" w:space="0"/>
            <w:bottom w:val="none" w:sz="0" w:space="0"/>
            <w:right w:val="none" w:sz="0" w:space="0"/>
          </w:pgBorders>
          <w:cols w:space="720" w:num="1"/>
          <w:docGrid w:type="linesAndChars" w:linePitch="312" w:charSpace="0"/>
        </w:sectPr>
      </w:pPr>
    </w:p>
    <w:p w14:paraId="59DFDC6A">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二、建设项目工程分析</w:t>
      </w:r>
    </w:p>
    <w:tbl>
      <w:tblPr>
        <w:tblStyle w:val="44"/>
        <w:tblW w:w="99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8"/>
        <w:gridCol w:w="9464"/>
      </w:tblGrid>
      <w:tr w14:paraId="17C1D1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458" w:type="dxa"/>
            <w:noWrap w:val="0"/>
            <w:vAlign w:val="center"/>
          </w:tcPr>
          <w:p w14:paraId="1731BE68">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建设内容</w:t>
            </w:r>
          </w:p>
        </w:tc>
        <w:tc>
          <w:tcPr>
            <w:tcW w:w="9464" w:type="dxa"/>
            <w:noWrap w:val="0"/>
            <w:vAlign w:val="center"/>
          </w:tcPr>
          <w:p w14:paraId="3F3B4EEC">
            <w:pPr>
              <w:ind w:firstLine="0" w:firstLineChars="0"/>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工程概况</w:t>
            </w:r>
          </w:p>
          <w:p w14:paraId="1295EBB0">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斐洋船舶配件（常州）有限公司成立于2025年06月10日，注册地位于江苏省常州市金坛区儒林镇儒园路1号-金桂园1幢，法定代表人为朱尧。所属行业为铁路、船舶、航空航天和其他运输设备制造业，经营范围包含：一般项目：船用配套设备制造；水上运输设备零配件制造；五金产品制造；金属制品销售（除依法须经批准的项目外，凭营业执照依法自主开展经营活动）。</w:t>
            </w:r>
          </w:p>
          <w:p w14:paraId="1C996E8A">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企业于202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租用洪帮新能源技术有限公司</w:t>
            </w:r>
            <w:r>
              <w:rPr>
                <w:rFonts w:hint="eastAsia" w:cs="Times New Roman"/>
                <w:color w:val="auto"/>
                <w:sz w:val="24"/>
                <w:lang w:val="en-US" w:eastAsia="zh-CN"/>
              </w:rPr>
              <w:t>（即</w:t>
            </w:r>
            <w:r>
              <w:rPr>
                <w:rFonts w:hint="eastAsia" w:cs="Times New Roman"/>
                <w:bCs/>
                <w:color w:val="auto"/>
                <w:sz w:val="24"/>
                <w:szCs w:val="24"/>
                <w:lang w:eastAsia="zh-CN"/>
              </w:rPr>
              <w:t>洪邦新能源产业园</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现有厂房</w:t>
            </w:r>
            <w:r>
              <w:rPr>
                <w:rFonts w:hint="eastAsia" w:cs="Times New Roman"/>
                <w:color w:val="auto"/>
                <w:sz w:val="24"/>
                <w:lang w:val="en-US" w:eastAsia="zh-CN"/>
              </w:rPr>
              <w:t>金桂园1幢，建筑面积</w:t>
            </w:r>
            <w:r>
              <w:rPr>
                <w:rFonts w:hint="default" w:ascii="Times New Roman" w:hAnsi="Times New Roman" w:eastAsia="宋体" w:cs="Times New Roman"/>
                <w:color w:val="auto"/>
                <w:sz w:val="24"/>
                <w:lang w:val="en-US" w:eastAsia="zh-CN"/>
              </w:rPr>
              <w:t>1200平方米，项目建成后将形成年产300吨游艇护舷、400吨游艇甲板、300吨码头护舷的生产能力。</w:t>
            </w:r>
          </w:p>
          <w:p w14:paraId="2552DB65">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该项目已于202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06</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lang w:val="en-US" w:eastAsia="zh-CN"/>
              </w:rPr>
              <w:t>25</w:t>
            </w:r>
            <w:r>
              <w:rPr>
                <w:rFonts w:hint="default" w:ascii="Times New Roman" w:hAnsi="Times New Roman" w:eastAsia="宋体" w:cs="Times New Roman"/>
                <w:color w:val="auto"/>
                <w:sz w:val="24"/>
              </w:rPr>
              <w:t>日取得</w:t>
            </w:r>
            <w:r>
              <w:rPr>
                <w:rFonts w:hint="default" w:ascii="Times New Roman" w:hAnsi="Times New Roman" w:eastAsia="宋体" w:cs="Times New Roman"/>
                <w:color w:val="auto"/>
                <w:sz w:val="24"/>
                <w:lang w:eastAsia="zh-CN"/>
              </w:rPr>
              <w:t>常州市金坛区发展和改革局</w:t>
            </w:r>
            <w:r>
              <w:rPr>
                <w:rFonts w:hint="default" w:ascii="Times New Roman" w:hAnsi="Times New Roman" w:eastAsia="宋体" w:cs="Times New Roman"/>
                <w:color w:val="auto"/>
                <w:sz w:val="24"/>
              </w:rPr>
              <w:t>的项目备案证明，备案证号：</w:t>
            </w:r>
            <w:r>
              <w:rPr>
                <w:rFonts w:hint="default" w:ascii="Times New Roman" w:hAnsi="Times New Roman" w:eastAsia="宋体" w:cs="Times New Roman"/>
                <w:color w:val="auto"/>
                <w:sz w:val="24"/>
                <w:lang w:eastAsia="zh-CN"/>
              </w:rPr>
              <w:t>坛发改备〔202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988</w:t>
            </w:r>
            <w:r>
              <w:rPr>
                <w:rFonts w:hint="default" w:ascii="Times New Roman" w:hAnsi="Times New Roman" w:eastAsia="宋体" w:cs="Times New Roman"/>
                <w:color w:val="auto"/>
                <w:sz w:val="24"/>
                <w:lang w:eastAsia="zh-CN"/>
              </w:rPr>
              <w:t>号</w:t>
            </w:r>
            <w:r>
              <w:rPr>
                <w:rFonts w:hint="default" w:ascii="Times New Roman" w:hAnsi="Times New Roman" w:eastAsia="宋体" w:cs="Times New Roman"/>
                <w:color w:val="auto"/>
                <w:sz w:val="24"/>
              </w:rPr>
              <w:t>，项目代码：2506-320413-04-01-367241。</w:t>
            </w:r>
          </w:p>
          <w:p w14:paraId="033E97DB">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根据《中华人民共和国环境保护法》</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2015年1月1日</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、《中华人民共和国环境影响评价法》</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2018年12月29日</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及《国务院关于修改&lt;建设项目环境保护管理条例&gt;的决定》</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国令第682号</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的有关规定，本项目应进行环境影响评价。根据《建设项目环境影响评价分类管理名录》</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2021年版</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环境管理要求，该项目属于</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二十六、橡胶和塑料制品业</w:t>
            </w:r>
            <w:r>
              <w:rPr>
                <w:rFonts w:hint="default" w:ascii="Times New Roman" w:hAnsi="Times New Roman" w:eastAsia="宋体" w:cs="Times New Roman"/>
                <w:color w:val="auto"/>
                <w:sz w:val="24"/>
                <w:lang w:val="en-US" w:eastAsia="zh-CN"/>
              </w:rPr>
              <w:t>29-53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塑料制品业292</w:t>
            </w:r>
            <w:r>
              <w:rPr>
                <w:rFonts w:hint="default" w:ascii="Times New Roman" w:hAnsi="Times New Roman" w:eastAsia="宋体" w:cs="Times New Roman"/>
                <w:color w:val="auto"/>
                <w:sz w:val="24"/>
              </w:rPr>
              <w:t>-其他（年用非溶剂型低VOCs含量涂料10吨以下的除外）</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，应编制环境影响评价报告表。</w:t>
            </w:r>
            <w:r>
              <w:rPr>
                <w:rFonts w:hint="default" w:ascii="Times New Roman" w:hAnsi="Times New Roman" w:eastAsia="宋体" w:cs="Times New Roman"/>
                <w:color w:val="auto"/>
                <w:sz w:val="24"/>
                <w:lang w:eastAsia="zh-CN"/>
              </w:rPr>
              <w:t>斐洋船舶配件（常州）有限公司</w:t>
            </w:r>
            <w:r>
              <w:rPr>
                <w:rFonts w:hint="default" w:ascii="Times New Roman" w:hAnsi="Times New Roman" w:eastAsia="宋体" w:cs="Times New Roman"/>
                <w:color w:val="auto"/>
                <w:sz w:val="24"/>
              </w:rPr>
              <w:t>委托</w:t>
            </w:r>
            <w:bookmarkStart w:id="15" w:name="_GoBack"/>
            <w:r>
              <w:rPr>
                <w:rFonts w:hint="default" w:ascii="Times New Roman" w:hAnsi="Times New Roman" w:eastAsia="宋体" w:cs="Times New Roman"/>
                <w:color w:val="auto"/>
                <w:sz w:val="24"/>
                <w:lang w:eastAsia="zh-CN"/>
              </w:rPr>
              <w:t>常州爱森环保科技有限公司</w:t>
            </w:r>
            <w:bookmarkEnd w:id="15"/>
            <w:r>
              <w:rPr>
                <w:rFonts w:hint="default" w:ascii="Times New Roman" w:hAnsi="Times New Roman" w:eastAsia="宋体" w:cs="Times New Roman"/>
                <w:color w:val="auto"/>
                <w:sz w:val="24"/>
              </w:rPr>
              <w:t>编制建设项目环境影响报告表，</w:t>
            </w:r>
            <w:r>
              <w:rPr>
                <w:rFonts w:hint="default" w:ascii="Times New Roman" w:hAnsi="Times New Roman" w:eastAsia="宋体" w:cs="Times New Roman"/>
                <w:color w:val="auto"/>
                <w:sz w:val="24"/>
                <w:lang w:eastAsia="zh-CN"/>
              </w:rPr>
              <w:t>常州爱森环保科技有限公司</w:t>
            </w:r>
            <w:r>
              <w:rPr>
                <w:rFonts w:hint="default" w:ascii="Times New Roman" w:hAnsi="Times New Roman" w:eastAsia="宋体" w:cs="Times New Roman"/>
                <w:color w:val="auto"/>
                <w:sz w:val="24"/>
              </w:rPr>
              <w:t>接受委托后即组织进行现场勘查、相关资料收集及其他相关工作，最终完成了该项目环境影响评价报告表的编制。</w:t>
            </w:r>
          </w:p>
          <w:p w14:paraId="2201B58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、项目产品方案</w:t>
            </w:r>
          </w:p>
          <w:p w14:paraId="7EACD740">
            <w:pPr>
              <w:ind w:firstLine="422"/>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（1）项目产品方案</w:t>
            </w:r>
          </w:p>
          <w:p w14:paraId="0006283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本项目实施达产后，新</w:t>
            </w:r>
            <w:r>
              <w:rPr>
                <w:rFonts w:hint="default" w:ascii="Times New Roman" w:hAnsi="Times New Roman" w:eastAsia="宋体" w:cs="Times New Roman"/>
                <w:color w:val="auto"/>
                <w:sz w:val="24"/>
                <w:szCs w:val="24"/>
                <w:lang w:val="en-US" w:eastAsia="zh-CN"/>
              </w:rPr>
              <w:t>建</w:t>
            </w:r>
            <w:r>
              <w:rPr>
                <w:rFonts w:hint="default" w:ascii="Times New Roman" w:hAnsi="Times New Roman" w:eastAsia="宋体" w:cs="Times New Roman"/>
                <w:color w:val="auto"/>
                <w:sz w:val="24"/>
                <w:szCs w:val="24"/>
              </w:rPr>
              <w:t>年产</w:t>
            </w:r>
            <w:r>
              <w:rPr>
                <w:rFonts w:hint="default" w:ascii="Times New Roman" w:hAnsi="Times New Roman" w:eastAsia="宋体" w:cs="Times New Roman"/>
                <w:color w:val="auto"/>
                <w:sz w:val="24"/>
                <w:lang w:val="en-US" w:eastAsia="zh-CN"/>
              </w:rPr>
              <w:t>300吨游艇护舷、400吨游艇甲板和300吨码头护舷</w:t>
            </w:r>
            <w:r>
              <w:rPr>
                <w:rFonts w:hint="default" w:ascii="Times New Roman" w:hAnsi="Times New Roman" w:eastAsia="宋体" w:cs="Times New Roman"/>
                <w:color w:val="auto"/>
                <w:sz w:val="24"/>
                <w:szCs w:val="24"/>
              </w:rPr>
              <w:t>，产品方案详见表2-</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p>
          <w:p w14:paraId="1921B7B8">
            <w:pPr>
              <w:spacing w:line="240" w:lineRule="auto"/>
              <w:ind w:firstLine="0" w:firstLineChars="0"/>
              <w:jc w:val="center"/>
              <w:rPr>
                <w:rFonts w:hint="default" w:ascii="Times New Roman" w:hAnsi="Times New Roman" w:eastAsia="宋体" w:cs="Times New Roman"/>
                <w:b/>
                <w:bCs/>
                <w:color w:val="auto"/>
                <w:sz w:val="21"/>
                <w:szCs w:val="21"/>
              </w:rPr>
            </w:pPr>
          </w:p>
          <w:p w14:paraId="664806BC">
            <w:pPr>
              <w:spacing w:line="240" w:lineRule="auto"/>
              <w:ind w:firstLine="0" w:firstLineChars="0"/>
              <w:jc w:val="center"/>
              <w:rPr>
                <w:rFonts w:hint="default" w:ascii="Times New Roman" w:hAnsi="Times New Roman" w:eastAsia="宋体" w:cs="Times New Roman"/>
                <w:b/>
                <w:bCs/>
                <w:color w:val="auto"/>
                <w:sz w:val="21"/>
                <w:szCs w:val="21"/>
              </w:rPr>
            </w:pPr>
          </w:p>
          <w:p w14:paraId="4E539EAF">
            <w:pPr>
              <w:spacing w:line="240" w:lineRule="auto"/>
              <w:ind w:firstLine="0" w:firstLineChars="0"/>
              <w:jc w:val="center"/>
              <w:rPr>
                <w:rFonts w:hint="default" w:ascii="Times New Roman" w:hAnsi="Times New Roman" w:eastAsia="宋体" w:cs="Times New Roman"/>
                <w:b/>
                <w:bCs/>
                <w:color w:val="auto"/>
                <w:sz w:val="21"/>
                <w:szCs w:val="21"/>
              </w:rPr>
            </w:pPr>
          </w:p>
          <w:p w14:paraId="0817CBF3">
            <w:pPr>
              <w:spacing w:line="240" w:lineRule="auto"/>
              <w:ind w:firstLine="0" w:firstLineChars="0"/>
              <w:jc w:val="center"/>
              <w:rPr>
                <w:rFonts w:hint="default" w:ascii="Times New Roman" w:hAnsi="Times New Roman" w:eastAsia="宋体" w:cs="Times New Roman"/>
                <w:b/>
                <w:bCs/>
                <w:color w:val="auto"/>
                <w:sz w:val="21"/>
                <w:szCs w:val="21"/>
              </w:rPr>
            </w:pPr>
          </w:p>
          <w:p w14:paraId="6BDE326D">
            <w:pPr>
              <w:spacing w:line="240" w:lineRule="auto"/>
              <w:ind w:firstLine="0" w:firstLineChars="0"/>
              <w:jc w:val="center"/>
              <w:rPr>
                <w:rFonts w:hint="default" w:ascii="Times New Roman" w:hAnsi="Times New Roman" w:eastAsia="宋体" w:cs="Times New Roman"/>
                <w:b/>
                <w:bCs/>
                <w:color w:val="auto"/>
                <w:sz w:val="21"/>
                <w:szCs w:val="21"/>
              </w:rPr>
            </w:pPr>
          </w:p>
          <w:p w14:paraId="71FE65EA">
            <w:pPr>
              <w:spacing w:line="240" w:lineRule="auto"/>
              <w:ind w:firstLine="0" w:firstLineChars="0"/>
              <w:jc w:val="center"/>
              <w:rPr>
                <w:rFonts w:hint="default" w:ascii="Times New Roman" w:hAnsi="Times New Roman" w:eastAsia="宋体" w:cs="Times New Roman"/>
                <w:b/>
                <w:bCs/>
                <w:color w:val="auto"/>
                <w:sz w:val="21"/>
                <w:szCs w:val="21"/>
              </w:rPr>
            </w:pPr>
          </w:p>
          <w:p w14:paraId="51426651">
            <w:pPr>
              <w:spacing w:line="240" w:lineRule="auto"/>
              <w:ind w:firstLine="0" w:firstLineChars="0"/>
              <w:jc w:val="center"/>
              <w:rPr>
                <w:rFonts w:hint="default" w:ascii="Times New Roman" w:hAnsi="Times New Roman" w:eastAsia="宋体" w:cs="Times New Roman"/>
                <w:b/>
                <w:bCs/>
                <w:color w:val="auto"/>
                <w:sz w:val="21"/>
                <w:szCs w:val="21"/>
              </w:rPr>
            </w:pPr>
          </w:p>
          <w:p w14:paraId="3CF55E1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项目产品方案表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0"/>
              <w:gridCol w:w="1395"/>
              <w:gridCol w:w="1198"/>
              <w:gridCol w:w="2595"/>
              <w:gridCol w:w="1484"/>
              <w:gridCol w:w="1033"/>
              <w:gridCol w:w="1083"/>
            </w:tblGrid>
            <w:tr w14:paraId="670D5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tcBorders>
                    <w:tl2br w:val="nil"/>
                    <w:tr2bl w:val="nil"/>
                  </w:tcBorders>
                  <w:noWrap w:val="0"/>
                  <w:vAlign w:val="center"/>
                </w:tcPr>
                <w:p w14:paraId="758142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754" w:type="pct"/>
                  <w:tcBorders>
                    <w:tl2br w:val="nil"/>
                    <w:tr2bl w:val="nil"/>
                  </w:tcBorders>
                  <w:noWrap w:val="0"/>
                  <w:vAlign w:val="center"/>
                </w:tcPr>
                <w:p w14:paraId="675F92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工程名称</w:t>
                  </w:r>
                </w:p>
              </w:tc>
              <w:tc>
                <w:tcPr>
                  <w:tcW w:w="647" w:type="pct"/>
                  <w:tcBorders>
                    <w:tl2br w:val="nil"/>
                    <w:tr2bl w:val="nil"/>
                  </w:tcBorders>
                  <w:noWrap w:val="0"/>
                  <w:vAlign w:val="center"/>
                </w:tcPr>
                <w:p w14:paraId="32B9AC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产品名称</w:t>
                  </w:r>
                </w:p>
              </w:tc>
              <w:tc>
                <w:tcPr>
                  <w:tcW w:w="1403" w:type="pct"/>
                  <w:tcBorders>
                    <w:tl2br w:val="nil"/>
                    <w:tr2bl w:val="nil"/>
                  </w:tcBorders>
                  <w:noWrap w:val="0"/>
                  <w:vAlign w:val="center"/>
                </w:tcPr>
                <w:p w14:paraId="716B2E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产品照片</w:t>
                  </w:r>
                </w:p>
              </w:tc>
              <w:tc>
                <w:tcPr>
                  <w:tcW w:w="802" w:type="pct"/>
                  <w:tcBorders>
                    <w:tl2br w:val="nil"/>
                    <w:tr2bl w:val="nil"/>
                  </w:tcBorders>
                  <w:shd w:val="clear" w:color="auto" w:fill="auto"/>
                  <w:noWrap w:val="0"/>
                  <w:vAlign w:val="center"/>
                </w:tcPr>
                <w:p w14:paraId="216F31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rPr>
                    <w:t>产品</w:t>
                  </w:r>
                  <w:r>
                    <w:rPr>
                      <w:rFonts w:hint="default" w:ascii="Times New Roman" w:hAnsi="Times New Roman" w:eastAsia="宋体" w:cs="Times New Roman"/>
                      <w:b/>
                      <w:color w:val="auto"/>
                      <w:sz w:val="21"/>
                      <w:szCs w:val="21"/>
                      <w:lang w:val="en-US" w:eastAsia="zh-CN"/>
                    </w:rPr>
                    <w:t>规格</w:t>
                  </w:r>
                </w:p>
              </w:tc>
              <w:tc>
                <w:tcPr>
                  <w:tcW w:w="558" w:type="pct"/>
                  <w:tcBorders>
                    <w:tl2br w:val="nil"/>
                    <w:tr2bl w:val="nil"/>
                  </w:tcBorders>
                  <w:noWrap w:val="0"/>
                  <w:vAlign w:val="center"/>
                </w:tcPr>
                <w:p w14:paraId="4C2E6E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设计能力</w:t>
                  </w:r>
                </w:p>
              </w:tc>
              <w:tc>
                <w:tcPr>
                  <w:tcW w:w="585" w:type="pct"/>
                  <w:tcBorders>
                    <w:tl2br w:val="nil"/>
                    <w:tr2bl w:val="nil"/>
                  </w:tcBorders>
                  <w:noWrap w:val="0"/>
                  <w:vAlign w:val="center"/>
                </w:tcPr>
                <w:p w14:paraId="034320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年运行时数</w:t>
                  </w:r>
                </w:p>
              </w:tc>
            </w:tr>
            <w:tr w14:paraId="3C941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248" w:type="pct"/>
                  <w:tcBorders>
                    <w:tl2br w:val="nil"/>
                    <w:tr2bl w:val="nil"/>
                  </w:tcBorders>
                  <w:noWrap w:val="0"/>
                  <w:vAlign w:val="center"/>
                </w:tcPr>
                <w:p w14:paraId="6563DD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54" w:type="pct"/>
                  <w:vMerge w:val="restart"/>
                  <w:tcBorders>
                    <w:tl2br w:val="nil"/>
                    <w:tr2bl w:val="nil"/>
                  </w:tcBorders>
                  <w:noWrap w:val="0"/>
                  <w:vAlign w:val="center"/>
                </w:tcPr>
                <w:p w14:paraId="416ADE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新</w:t>
                  </w:r>
                  <w:r>
                    <w:rPr>
                      <w:rFonts w:hint="default" w:ascii="Times New Roman" w:hAnsi="Times New Roman" w:eastAsia="宋体" w:cs="Times New Roman"/>
                      <w:color w:val="auto"/>
                      <w:sz w:val="21"/>
                      <w:szCs w:val="21"/>
                      <w:lang w:val="en-US" w:eastAsia="zh-CN"/>
                    </w:rPr>
                    <w:t>建</w:t>
                  </w:r>
                  <w:r>
                    <w:rPr>
                      <w:rFonts w:hint="default" w:ascii="Times New Roman" w:hAnsi="Times New Roman" w:eastAsia="宋体" w:cs="Times New Roman"/>
                      <w:color w:val="auto"/>
                      <w:sz w:val="21"/>
                      <w:szCs w:val="21"/>
                    </w:rPr>
                    <w:t>年产</w:t>
                  </w:r>
                  <w:r>
                    <w:rPr>
                      <w:rFonts w:hint="default" w:ascii="Times New Roman" w:hAnsi="Times New Roman" w:eastAsia="宋体" w:cs="Times New Roman"/>
                      <w:color w:val="auto"/>
                      <w:sz w:val="21"/>
                      <w:szCs w:val="21"/>
                      <w:lang w:val="en-US" w:eastAsia="zh-CN"/>
                    </w:rPr>
                    <w:t>300吨游艇护舷、400吨游艇甲板和300吨码头护舷项目</w:t>
                  </w:r>
                </w:p>
              </w:tc>
              <w:tc>
                <w:tcPr>
                  <w:tcW w:w="647" w:type="pct"/>
                  <w:tcBorders>
                    <w:tl2br w:val="nil"/>
                    <w:tr2bl w:val="nil"/>
                  </w:tcBorders>
                  <w:noWrap w:val="0"/>
                  <w:vAlign w:val="center"/>
                </w:tcPr>
                <w:p w14:paraId="2531C5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游艇护舷</w:t>
                  </w:r>
                </w:p>
              </w:tc>
              <w:tc>
                <w:tcPr>
                  <w:tcW w:w="1403" w:type="pct"/>
                  <w:tcBorders>
                    <w:tl2br w:val="nil"/>
                    <w:tr2bl w:val="nil"/>
                  </w:tcBorders>
                  <w:noWrap w:val="0"/>
                  <w:vAlign w:val="center"/>
                </w:tcPr>
                <w:p w14:paraId="623EB58F">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drawing>
                      <wp:anchor distT="0" distB="0" distL="114300" distR="114300" simplePos="0" relativeHeight="251662336" behindDoc="0" locked="0" layoutInCell="1" allowOverlap="1">
                        <wp:simplePos x="0" y="0"/>
                        <wp:positionH relativeFrom="column">
                          <wp:posOffset>70485</wp:posOffset>
                        </wp:positionH>
                        <wp:positionV relativeFrom="paragraph">
                          <wp:posOffset>166370</wp:posOffset>
                        </wp:positionV>
                        <wp:extent cx="1339850" cy="1181735"/>
                        <wp:effectExtent l="0" t="0" r="1270" b="6985"/>
                        <wp:wrapTopAndBottom/>
                        <wp:docPr id="1" name="图片 11" descr="a010a44f0e1badc318dfebbe847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a010a44f0e1badc318dfebbe8476826"/>
                                <pic:cNvPicPr>
                                  <a:picLocks noChangeAspect="1"/>
                                </pic:cNvPicPr>
                              </pic:nvPicPr>
                              <pic:blipFill>
                                <a:blip r:embed="rId15"/>
                                <a:stretch>
                                  <a:fillRect/>
                                </a:stretch>
                              </pic:blipFill>
                              <pic:spPr>
                                <a:xfrm>
                                  <a:off x="0" y="0"/>
                                  <a:ext cx="1339850" cy="1181735"/>
                                </a:xfrm>
                                <a:prstGeom prst="rect">
                                  <a:avLst/>
                                </a:prstGeom>
                                <a:noFill/>
                                <a:ln>
                                  <a:noFill/>
                                </a:ln>
                              </pic:spPr>
                            </pic:pic>
                          </a:graphicData>
                        </a:graphic>
                      </wp:anchor>
                    </w:drawing>
                  </w:r>
                </w:p>
              </w:tc>
              <w:tc>
                <w:tcPr>
                  <w:tcW w:w="802" w:type="pct"/>
                  <w:tcBorders>
                    <w:tl2br w:val="nil"/>
                    <w:tr2bl w:val="nil"/>
                  </w:tcBorders>
                  <w:shd w:val="clear" w:color="auto" w:fill="auto"/>
                  <w:noWrap w:val="0"/>
                  <w:vAlign w:val="center"/>
                </w:tcPr>
                <w:p w14:paraId="3E9905C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Φ0.1*5m</w:t>
                  </w:r>
                </w:p>
              </w:tc>
              <w:tc>
                <w:tcPr>
                  <w:tcW w:w="558" w:type="pct"/>
                  <w:tcBorders>
                    <w:tl2br w:val="nil"/>
                    <w:tr2bl w:val="nil"/>
                  </w:tcBorders>
                  <w:noWrap w:val="0"/>
                  <w:vAlign w:val="center"/>
                </w:tcPr>
                <w:p w14:paraId="41C18A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300t/a</w:t>
                  </w:r>
                </w:p>
              </w:tc>
              <w:tc>
                <w:tcPr>
                  <w:tcW w:w="585" w:type="pct"/>
                  <w:vMerge w:val="restart"/>
                  <w:tcBorders>
                    <w:tl2br w:val="nil"/>
                    <w:tr2bl w:val="nil"/>
                  </w:tcBorders>
                  <w:noWrap w:val="0"/>
                  <w:vAlign w:val="center"/>
                </w:tcPr>
                <w:p w14:paraId="3A44DE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24</w:t>
                  </w:r>
                  <w:r>
                    <w:rPr>
                      <w:rFonts w:hint="default" w:ascii="Times New Roman" w:hAnsi="Times New Roman" w:eastAsia="宋体" w:cs="Times New Roman"/>
                      <w:color w:val="auto"/>
                      <w:sz w:val="21"/>
                      <w:szCs w:val="21"/>
                    </w:rPr>
                    <w:t>00h</w:t>
                  </w:r>
                </w:p>
              </w:tc>
            </w:tr>
            <w:tr w14:paraId="25324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tcBorders>
                    <w:tl2br w:val="nil"/>
                    <w:tr2bl w:val="nil"/>
                  </w:tcBorders>
                  <w:noWrap w:val="0"/>
                  <w:vAlign w:val="center"/>
                </w:tcPr>
                <w:p w14:paraId="3DD8F0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754" w:type="pct"/>
                  <w:vMerge w:val="continue"/>
                  <w:tcBorders>
                    <w:tl2br w:val="nil"/>
                    <w:tr2bl w:val="nil"/>
                  </w:tcBorders>
                  <w:noWrap w:val="0"/>
                  <w:vAlign w:val="center"/>
                </w:tcPr>
                <w:p w14:paraId="26C95A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47" w:type="pct"/>
                  <w:tcBorders>
                    <w:tl2br w:val="nil"/>
                    <w:tr2bl w:val="nil"/>
                  </w:tcBorders>
                  <w:noWrap w:val="0"/>
                  <w:vAlign w:val="center"/>
                </w:tcPr>
                <w:p w14:paraId="0ECAF8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游艇甲板</w:t>
                  </w:r>
                </w:p>
              </w:tc>
              <w:tc>
                <w:tcPr>
                  <w:tcW w:w="1403" w:type="pct"/>
                  <w:tcBorders>
                    <w:tl2br w:val="nil"/>
                    <w:tr2bl w:val="nil"/>
                  </w:tcBorders>
                  <w:noWrap w:val="0"/>
                  <w:vAlign w:val="center"/>
                </w:tcPr>
                <w:p w14:paraId="757629AE">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drawing>
                      <wp:anchor distT="0" distB="0" distL="114300" distR="114300" simplePos="0" relativeHeight="251663360" behindDoc="1" locked="0" layoutInCell="1" allowOverlap="1">
                        <wp:simplePos x="0" y="0"/>
                        <wp:positionH relativeFrom="column">
                          <wp:posOffset>227330</wp:posOffset>
                        </wp:positionH>
                        <wp:positionV relativeFrom="paragraph">
                          <wp:posOffset>20955</wp:posOffset>
                        </wp:positionV>
                        <wp:extent cx="1042670" cy="949960"/>
                        <wp:effectExtent l="0" t="0" r="8890" b="10160"/>
                        <wp:wrapTight wrapText="bothSides">
                          <wp:wrapPolygon>
                            <wp:start x="0" y="0"/>
                            <wp:lineTo x="0" y="21138"/>
                            <wp:lineTo x="21153" y="21138"/>
                            <wp:lineTo x="21153" y="0"/>
                            <wp:lineTo x="0" y="0"/>
                          </wp:wrapPolygon>
                        </wp:wrapTight>
                        <wp:docPr id="2" name="图片 5" descr="e2ffa812adcc1f4d02d9173bfc2a4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e2ffa812adcc1f4d02d9173bfc2a4dc"/>
                                <pic:cNvPicPr>
                                  <a:picLocks noChangeAspect="1"/>
                                </pic:cNvPicPr>
                              </pic:nvPicPr>
                              <pic:blipFill>
                                <a:blip r:embed="rId16"/>
                                <a:stretch>
                                  <a:fillRect/>
                                </a:stretch>
                              </pic:blipFill>
                              <pic:spPr>
                                <a:xfrm>
                                  <a:off x="0" y="0"/>
                                  <a:ext cx="1042670" cy="949960"/>
                                </a:xfrm>
                                <a:prstGeom prst="rect">
                                  <a:avLst/>
                                </a:prstGeom>
                                <a:noFill/>
                                <a:ln>
                                  <a:noFill/>
                                </a:ln>
                              </pic:spPr>
                            </pic:pic>
                          </a:graphicData>
                        </a:graphic>
                      </wp:anchor>
                    </w:drawing>
                  </w:r>
                </w:p>
              </w:tc>
              <w:tc>
                <w:tcPr>
                  <w:tcW w:w="802" w:type="pct"/>
                  <w:tcBorders>
                    <w:tl2br w:val="nil"/>
                    <w:tr2bl w:val="nil"/>
                  </w:tcBorders>
                  <w:shd w:val="clear" w:color="auto" w:fill="auto"/>
                  <w:noWrap w:val="0"/>
                  <w:vAlign w:val="center"/>
                </w:tcPr>
                <w:p w14:paraId="03384C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0.2*0.25*0.005m</w:t>
                  </w:r>
                </w:p>
              </w:tc>
              <w:tc>
                <w:tcPr>
                  <w:tcW w:w="558" w:type="pct"/>
                  <w:tcBorders>
                    <w:tl2br w:val="nil"/>
                    <w:tr2bl w:val="nil"/>
                  </w:tcBorders>
                  <w:noWrap w:val="0"/>
                  <w:vAlign w:val="center"/>
                </w:tcPr>
                <w:p w14:paraId="55C742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400t/a</w:t>
                  </w:r>
                </w:p>
              </w:tc>
              <w:tc>
                <w:tcPr>
                  <w:tcW w:w="585" w:type="pct"/>
                  <w:vMerge w:val="continue"/>
                  <w:tcBorders>
                    <w:tl2br w:val="nil"/>
                    <w:tr2bl w:val="nil"/>
                  </w:tcBorders>
                  <w:noWrap w:val="0"/>
                  <w:vAlign w:val="center"/>
                </w:tcPr>
                <w:p w14:paraId="7DC2E2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272DE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8" w:type="pct"/>
                  <w:tcBorders>
                    <w:tl2br w:val="nil"/>
                    <w:tr2bl w:val="nil"/>
                  </w:tcBorders>
                  <w:noWrap w:val="0"/>
                  <w:vAlign w:val="center"/>
                </w:tcPr>
                <w:p w14:paraId="1B5AA6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754" w:type="pct"/>
                  <w:vMerge w:val="continue"/>
                  <w:tcBorders>
                    <w:tl2br w:val="nil"/>
                    <w:tr2bl w:val="nil"/>
                  </w:tcBorders>
                  <w:noWrap w:val="0"/>
                  <w:vAlign w:val="center"/>
                </w:tcPr>
                <w:p w14:paraId="1699EF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47" w:type="pct"/>
                  <w:tcBorders>
                    <w:tl2br w:val="nil"/>
                    <w:tr2bl w:val="nil"/>
                  </w:tcBorders>
                  <w:noWrap w:val="0"/>
                  <w:vAlign w:val="center"/>
                </w:tcPr>
                <w:p w14:paraId="46C1CB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码头护舷</w:t>
                  </w:r>
                </w:p>
              </w:tc>
              <w:tc>
                <w:tcPr>
                  <w:tcW w:w="1403" w:type="pct"/>
                  <w:tcBorders>
                    <w:tl2br w:val="nil"/>
                    <w:tr2bl w:val="nil"/>
                  </w:tcBorders>
                  <w:noWrap w:val="0"/>
                  <w:vAlign w:val="center"/>
                </w:tcPr>
                <w:p w14:paraId="3854C28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drawing>
                      <wp:anchor distT="0" distB="0" distL="114300" distR="114300" simplePos="0" relativeHeight="251664384" behindDoc="1" locked="0" layoutInCell="1" allowOverlap="1">
                        <wp:simplePos x="0" y="0"/>
                        <wp:positionH relativeFrom="column">
                          <wp:posOffset>219710</wp:posOffset>
                        </wp:positionH>
                        <wp:positionV relativeFrom="paragraph">
                          <wp:posOffset>13970</wp:posOffset>
                        </wp:positionV>
                        <wp:extent cx="1040765" cy="1297940"/>
                        <wp:effectExtent l="0" t="0" r="10795" b="12700"/>
                        <wp:wrapTight wrapText="bothSides">
                          <wp:wrapPolygon>
                            <wp:start x="0" y="0"/>
                            <wp:lineTo x="0" y="21304"/>
                            <wp:lineTo x="21191" y="21304"/>
                            <wp:lineTo x="21191" y="0"/>
                            <wp:lineTo x="0" y="0"/>
                          </wp:wrapPolygon>
                        </wp:wrapTight>
                        <wp:docPr id="3" name="图片 24" descr="858e7852040f8d8633d935b8cc9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descr="858e7852040f8d8633d935b8cc96186"/>
                                <pic:cNvPicPr>
                                  <a:picLocks noChangeAspect="1"/>
                                </pic:cNvPicPr>
                              </pic:nvPicPr>
                              <pic:blipFill>
                                <a:blip r:embed="rId17"/>
                                <a:stretch>
                                  <a:fillRect/>
                                </a:stretch>
                              </pic:blipFill>
                              <pic:spPr>
                                <a:xfrm>
                                  <a:off x="0" y="0"/>
                                  <a:ext cx="1040765" cy="1297940"/>
                                </a:xfrm>
                                <a:prstGeom prst="rect">
                                  <a:avLst/>
                                </a:prstGeom>
                                <a:noFill/>
                                <a:ln>
                                  <a:noFill/>
                                </a:ln>
                              </pic:spPr>
                            </pic:pic>
                          </a:graphicData>
                        </a:graphic>
                      </wp:anchor>
                    </w:drawing>
                  </w:r>
                </w:p>
              </w:tc>
              <w:tc>
                <w:tcPr>
                  <w:tcW w:w="802" w:type="pct"/>
                  <w:tcBorders>
                    <w:tl2br w:val="nil"/>
                    <w:tr2bl w:val="nil"/>
                  </w:tcBorders>
                  <w:shd w:val="clear" w:color="auto" w:fill="auto"/>
                  <w:noWrap w:val="0"/>
                  <w:vAlign w:val="center"/>
                </w:tcPr>
                <w:p w14:paraId="17BA85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Φ0.1*5m</w:t>
                  </w:r>
                </w:p>
              </w:tc>
              <w:tc>
                <w:tcPr>
                  <w:tcW w:w="558" w:type="pct"/>
                  <w:tcBorders>
                    <w:tl2br w:val="nil"/>
                    <w:tr2bl w:val="nil"/>
                  </w:tcBorders>
                  <w:noWrap w:val="0"/>
                  <w:vAlign w:val="center"/>
                </w:tcPr>
                <w:p w14:paraId="1771F1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300t/a</w:t>
                  </w:r>
                </w:p>
              </w:tc>
              <w:tc>
                <w:tcPr>
                  <w:tcW w:w="585" w:type="pct"/>
                  <w:vMerge w:val="continue"/>
                  <w:tcBorders>
                    <w:tl2br w:val="nil"/>
                    <w:tr2bl w:val="nil"/>
                  </w:tcBorders>
                  <w:noWrap w:val="0"/>
                  <w:vAlign w:val="center"/>
                </w:tcPr>
                <w:p w14:paraId="4AA9A5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bl>
          <w:p w14:paraId="22F68E5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、主要原辅材料及理化性质</w:t>
            </w:r>
          </w:p>
          <w:p w14:paraId="1713220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本项目主要原辅材料消耗详见表2-</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，主要原辅料、理化特性、毒性毒理详见表2-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w:t>
            </w:r>
          </w:p>
          <w:p w14:paraId="1EE7ECF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主要原辅料消耗表</w:t>
            </w:r>
          </w:p>
          <w:tbl>
            <w:tblPr>
              <w:tblStyle w:val="4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35"/>
              <w:gridCol w:w="663"/>
              <w:gridCol w:w="1341"/>
              <w:gridCol w:w="2518"/>
              <w:gridCol w:w="816"/>
              <w:gridCol w:w="914"/>
              <w:gridCol w:w="1385"/>
              <w:gridCol w:w="1076"/>
            </w:tblGrid>
            <w:tr w14:paraId="31C799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89" w:type="pct"/>
                  <w:tcBorders>
                    <w:tl2br w:val="nil"/>
                    <w:tr2bl w:val="nil"/>
                  </w:tcBorders>
                  <w:noWrap w:val="0"/>
                  <w:vAlign w:val="center"/>
                </w:tcPr>
                <w:p w14:paraId="04E54F5C">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358" w:type="pct"/>
                  <w:tcBorders>
                    <w:tl2br w:val="nil"/>
                    <w:tr2bl w:val="nil"/>
                  </w:tcBorders>
                  <w:noWrap w:val="0"/>
                  <w:vAlign w:val="center"/>
                </w:tcPr>
                <w:p w14:paraId="50D460BE">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725" w:type="pct"/>
                  <w:tcBorders>
                    <w:tl2br w:val="nil"/>
                    <w:tr2bl w:val="nil"/>
                  </w:tcBorders>
                  <w:noWrap w:val="0"/>
                  <w:vAlign w:val="center"/>
                </w:tcPr>
                <w:p w14:paraId="471293B4">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361" w:type="pct"/>
                  <w:tcBorders>
                    <w:tl2br w:val="nil"/>
                    <w:tr2bl w:val="nil"/>
                  </w:tcBorders>
                  <w:noWrap w:val="0"/>
                  <w:vAlign w:val="center"/>
                </w:tcPr>
                <w:p w14:paraId="78E09725">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规格/组分</w:t>
                  </w:r>
                </w:p>
              </w:tc>
              <w:tc>
                <w:tcPr>
                  <w:tcW w:w="441" w:type="pct"/>
                  <w:tcBorders>
                    <w:tl2br w:val="nil"/>
                    <w:tr2bl w:val="nil"/>
                  </w:tcBorders>
                  <w:noWrap w:val="0"/>
                  <w:vAlign w:val="center"/>
                </w:tcPr>
                <w:p w14:paraId="3B4D8838">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年耗量（t/a）</w:t>
                  </w:r>
                </w:p>
              </w:tc>
              <w:tc>
                <w:tcPr>
                  <w:tcW w:w="494" w:type="pct"/>
                  <w:tcBorders>
                    <w:tl2br w:val="nil"/>
                    <w:tr2bl w:val="nil"/>
                  </w:tcBorders>
                  <w:noWrap w:val="0"/>
                  <w:vAlign w:val="center"/>
                </w:tcPr>
                <w:p w14:paraId="36B4F050">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最大储存量（t）</w:t>
                  </w:r>
                </w:p>
              </w:tc>
              <w:tc>
                <w:tcPr>
                  <w:tcW w:w="748" w:type="pct"/>
                  <w:tcBorders>
                    <w:tl2br w:val="nil"/>
                    <w:tr2bl w:val="nil"/>
                  </w:tcBorders>
                  <w:noWrap w:val="0"/>
                  <w:vAlign w:val="center"/>
                </w:tcPr>
                <w:p w14:paraId="7636A045">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包装及规格</w:t>
                  </w:r>
                </w:p>
              </w:tc>
              <w:tc>
                <w:tcPr>
                  <w:tcW w:w="581" w:type="pct"/>
                  <w:tcBorders>
                    <w:tl2br w:val="nil"/>
                    <w:tr2bl w:val="nil"/>
                  </w:tcBorders>
                  <w:noWrap w:val="0"/>
                  <w:vAlign w:val="center"/>
                </w:tcPr>
                <w:p w14:paraId="75CD45AE">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来源</w:t>
                  </w:r>
                </w:p>
              </w:tc>
            </w:tr>
            <w:tr w14:paraId="2674AE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289" w:type="pct"/>
                  <w:tcBorders>
                    <w:tl2br w:val="nil"/>
                    <w:tr2bl w:val="nil"/>
                  </w:tcBorders>
                  <w:noWrap w:val="0"/>
                  <w:vAlign w:val="center"/>
                </w:tcPr>
                <w:p w14:paraId="6A94ED4C">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w:t>
                  </w:r>
                </w:p>
              </w:tc>
              <w:tc>
                <w:tcPr>
                  <w:tcW w:w="358" w:type="pct"/>
                  <w:vMerge w:val="restart"/>
                  <w:tcBorders>
                    <w:tl2br w:val="nil"/>
                    <w:tr2bl w:val="nil"/>
                  </w:tcBorders>
                  <w:noWrap w:val="0"/>
                  <w:vAlign w:val="center"/>
                </w:tcPr>
                <w:p w14:paraId="51444DCB">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原料</w:t>
                  </w:r>
                </w:p>
              </w:tc>
              <w:tc>
                <w:tcPr>
                  <w:tcW w:w="725" w:type="pct"/>
                  <w:tcBorders>
                    <w:tl2br w:val="nil"/>
                    <w:tr2bl w:val="nil"/>
                  </w:tcBorders>
                  <w:noWrap w:val="0"/>
                  <w:vAlign w:val="center"/>
                </w:tcPr>
                <w:p w14:paraId="6EB359AB">
                  <w:pPr>
                    <w:pStyle w:val="375"/>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PVC</w:t>
                  </w:r>
                </w:p>
              </w:tc>
              <w:tc>
                <w:tcPr>
                  <w:tcW w:w="1361" w:type="pct"/>
                  <w:tcBorders>
                    <w:tl2br w:val="nil"/>
                    <w:tr2bl w:val="nil"/>
                  </w:tcBorders>
                  <w:noWrap w:val="0"/>
                  <w:vAlign w:val="center"/>
                </w:tcPr>
                <w:p w14:paraId="7660D2FE">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聚氯乙烯糊树脂</w:t>
                  </w:r>
                  <w:r>
                    <w:rPr>
                      <w:rFonts w:hint="eastAsia" w:cs="Times New Roman"/>
                      <w:color w:val="auto"/>
                      <w:sz w:val="21"/>
                      <w:szCs w:val="21"/>
                      <w:lang w:val="en-US" w:eastAsia="zh-CN"/>
                    </w:rPr>
                    <w:t>，粉料</w:t>
                  </w:r>
                </w:p>
              </w:tc>
              <w:tc>
                <w:tcPr>
                  <w:tcW w:w="441" w:type="pct"/>
                  <w:tcBorders>
                    <w:tl2br w:val="nil"/>
                    <w:tr2bl w:val="nil"/>
                  </w:tcBorders>
                  <w:noWrap w:val="0"/>
                  <w:vAlign w:val="center"/>
                </w:tcPr>
                <w:p w14:paraId="664FDD91">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400</w:t>
                  </w:r>
                </w:p>
              </w:tc>
              <w:tc>
                <w:tcPr>
                  <w:tcW w:w="494" w:type="pct"/>
                  <w:tcBorders>
                    <w:tl2br w:val="nil"/>
                    <w:tr2bl w:val="nil"/>
                  </w:tcBorders>
                  <w:noWrap w:val="0"/>
                  <w:vAlign w:val="center"/>
                </w:tcPr>
                <w:p w14:paraId="35CF6D66">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w:t>
                  </w:r>
                </w:p>
              </w:tc>
              <w:tc>
                <w:tcPr>
                  <w:tcW w:w="748" w:type="pct"/>
                  <w:tcBorders>
                    <w:tl2br w:val="nil"/>
                    <w:tr2bl w:val="nil"/>
                  </w:tcBorders>
                  <w:noWrap w:val="0"/>
                  <w:vAlign w:val="center"/>
                </w:tcPr>
                <w:p w14:paraId="6C94CDE7">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25kg/袋</w:t>
                  </w:r>
                </w:p>
              </w:tc>
              <w:tc>
                <w:tcPr>
                  <w:tcW w:w="581" w:type="pct"/>
                  <w:vMerge w:val="restart"/>
                  <w:tcBorders>
                    <w:tl2br w:val="nil"/>
                    <w:tr2bl w:val="nil"/>
                  </w:tcBorders>
                  <w:noWrap w:val="0"/>
                  <w:vAlign w:val="center"/>
                </w:tcPr>
                <w:p w14:paraId="5C6E69C3">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国内，外购，汽运</w:t>
                  </w:r>
                </w:p>
              </w:tc>
            </w:tr>
            <w:tr w14:paraId="3CA8F3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89" w:type="pct"/>
                  <w:tcBorders>
                    <w:tl2br w:val="nil"/>
                    <w:tr2bl w:val="nil"/>
                  </w:tcBorders>
                  <w:noWrap w:val="0"/>
                  <w:vAlign w:val="center"/>
                </w:tcPr>
                <w:p w14:paraId="30DF9389">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w:t>
                  </w:r>
                </w:p>
              </w:tc>
              <w:tc>
                <w:tcPr>
                  <w:tcW w:w="358" w:type="pct"/>
                  <w:vMerge w:val="continue"/>
                  <w:tcBorders>
                    <w:tl2br w:val="nil"/>
                    <w:tr2bl w:val="nil"/>
                  </w:tcBorders>
                  <w:noWrap w:val="0"/>
                  <w:vAlign w:val="center"/>
                </w:tcPr>
                <w:p w14:paraId="5709FF74">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725" w:type="pct"/>
                  <w:tcBorders>
                    <w:tl2br w:val="nil"/>
                    <w:tr2bl w:val="nil"/>
                  </w:tcBorders>
                  <w:noWrap w:val="0"/>
                  <w:vAlign w:val="center"/>
                </w:tcPr>
                <w:p w14:paraId="0DA96F3E">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重质碳酸钙</w:t>
                  </w:r>
                </w:p>
              </w:tc>
              <w:tc>
                <w:tcPr>
                  <w:tcW w:w="1361" w:type="pct"/>
                  <w:tcBorders>
                    <w:tl2br w:val="nil"/>
                    <w:tr2bl w:val="nil"/>
                  </w:tcBorders>
                  <w:noWrap w:val="0"/>
                  <w:vAlign w:val="center"/>
                </w:tcPr>
                <w:p w14:paraId="2F899FCC">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CaCO</w:t>
                  </w:r>
                  <w:r>
                    <w:rPr>
                      <w:rFonts w:hint="default" w:ascii="Times New Roman" w:hAnsi="Times New Roman" w:eastAsia="宋体" w:cs="Times New Roman"/>
                      <w:color w:val="auto"/>
                      <w:kern w:val="0"/>
                      <w:sz w:val="21"/>
                      <w:szCs w:val="21"/>
                      <w:vertAlign w:val="subscript"/>
                      <w:lang w:val="en-US" w:eastAsia="zh-CN"/>
                    </w:rPr>
                    <w:t>3</w:t>
                  </w:r>
                  <w:r>
                    <w:rPr>
                      <w:rFonts w:hint="eastAsia" w:cs="Times New Roman"/>
                      <w:color w:val="auto"/>
                      <w:kern w:val="0"/>
                      <w:sz w:val="21"/>
                      <w:szCs w:val="21"/>
                      <w:vertAlign w:val="baseline"/>
                      <w:lang w:val="en-US" w:eastAsia="zh-CN"/>
                    </w:rPr>
                    <w:t>，粉料</w:t>
                  </w:r>
                </w:p>
              </w:tc>
              <w:tc>
                <w:tcPr>
                  <w:tcW w:w="441" w:type="pct"/>
                  <w:tcBorders>
                    <w:tl2br w:val="nil"/>
                    <w:tr2bl w:val="nil"/>
                  </w:tcBorders>
                  <w:noWrap w:val="0"/>
                  <w:vAlign w:val="center"/>
                </w:tcPr>
                <w:p w14:paraId="7BAE1D2B">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53</w:t>
                  </w:r>
                  <w:r>
                    <w:rPr>
                      <w:rFonts w:hint="default" w:ascii="Times New Roman" w:hAnsi="Times New Roman" w:eastAsia="宋体" w:cs="Times New Roman"/>
                      <w:color w:val="auto"/>
                      <w:kern w:val="2"/>
                      <w:sz w:val="21"/>
                      <w:szCs w:val="21"/>
                      <w:lang w:val="en-US" w:eastAsia="zh-CN" w:bidi="ar-SA"/>
                    </w:rPr>
                    <w:t>0</w:t>
                  </w:r>
                </w:p>
              </w:tc>
              <w:tc>
                <w:tcPr>
                  <w:tcW w:w="494" w:type="pct"/>
                  <w:tcBorders>
                    <w:tl2br w:val="nil"/>
                    <w:tr2bl w:val="nil"/>
                  </w:tcBorders>
                  <w:noWrap w:val="0"/>
                  <w:vAlign w:val="center"/>
                </w:tcPr>
                <w:p w14:paraId="2E67566F">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w:t>
                  </w:r>
                </w:p>
              </w:tc>
              <w:tc>
                <w:tcPr>
                  <w:tcW w:w="748" w:type="pct"/>
                  <w:tcBorders>
                    <w:tl2br w:val="nil"/>
                    <w:tr2bl w:val="nil"/>
                  </w:tcBorders>
                  <w:noWrap w:val="0"/>
                  <w:vAlign w:val="center"/>
                </w:tcPr>
                <w:p w14:paraId="51992296">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25kg/袋</w:t>
                  </w:r>
                </w:p>
              </w:tc>
              <w:tc>
                <w:tcPr>
                  <w:tcW w:w="581" w:type="pct"/>
                  <w:vMerge w:val="continue"/>
                  <w:tcBorders>
                    <w:tl2br w:val="nil"/>
                    <w:tr2bl w:val="nil"/>
                  </w:tcBorders>
                  <w:noWrap w:val="0"/>
                  <w:vAlign w:val="center"/>
                </w:tcPr>
                <w:p w14:paraId="575156EE">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p>
              </w:tc>
            </w:tr>
            <w:tr w14:paraId="3EFD91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89" w:type="pct"/>
                  <w:tcBorders>
                    <w:tl2br w:val="nil"/>
                    <w:tr2bl w:val="nil"/>
                  </w:tcBorders>
                  <w:noWrap w:val="0"/>
                  <w:vAlign w:val="center"/>
                </w:tcPr>
                <w:p w14:paraId="3896E927">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3</w:t>
                  </w:r>
                </w:p>
              </w:tc>
              <w:tc>
                <w:tcPr>
                  <w:tcW w:w="358" w:type="pct"/>
                  <w:vMerge w:val="continue"/>
                  <w:tcBorders>
                    <w:tl2br w:val="nil"/>
                    <w:tr2bl w:val="nil"/>
                  </w:tcBorders>
                  <w:noWrap w:val="0"/>
                  <w:vAlign w:val="center"/>
                </w:tcPr>
                <w:p w14:paraId="2EF083FF">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725" w:type="pct"/>
                  <w:tcBorders>
                    <w:tl2br w:val="nil"/>
                    <w:tr2bl w:val="nil"/>
                  </w:tcBorders>
                  <w:noWrap w:val="0"/>
                  <w:vAlign w:val="center"/>
                </w:tcPr>
                <w:p w14:paraId="19DDF1C8">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环保热稳定剂</w:t>
                  </w:r>
                </w:p>
              </w:tc>
              <w:tc>
                <w:tcPr>
                  <w:tcW w:w="1361" w:type="pct"/>
                  <w:tcBorders>
                    <w:tl2br w:val="nil"/>
                    <w:tr2bl w:val="nil"/>
                  </w:tcBorders>
                  <w:noWrap w:val="0"/>
                  <w:vAlign w:val="center"/>
                </w:tcPr>
                <w:p w14:paraId="6FFFF3D1">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钙锌热稳定剂</w:t>
                  </w:r>
                  <w:r>
                    <w:rPr>
                      <w:rFonts w:hint="eastAsia"/>
                      <w:color w:val="auto"/>
                      <w:lang w:eastAsia="zh-CN"/>
                    </w:rPr>
                    <w:t>，</w:t>
                  </w:r>
                  <w:r>
                    <w:rPr>
                      <w:rFonts w:hint="eastAsia"/>
                      <w:color w:val="auto"/>
                      <w:lang w:val="en-US" w:eastAsia="zh-CN"/>
                    </w:rPr>
                    <w:t>粉料</w:t>
                  </w:r>
                </w:p>
              </w:tc>
              <w:tc>
                <w:tcPr>
                  <w:tcW w:w="441" w:type="pct"/>
                  <w:tcBorders>
                    <w:tl2br w:val="nil"/>
                    <w:tr2bl w:val="nil"/>
                  </w:tcBorders>
                  <w:noWrap w:val="0"/>
                  <w:vAlign w:val="center"/>
                </w:tcPr>
                <w:p w14:paraId="1C10B448">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w:t>
                  </w:r>
                </w:p>
              </w:tc>
              <w:tc>
                <w:tcPr>
                  <w:tcW w:w="494" w:type="pct"/>
                  <w:tcBorders>
                    <w:tl2br w:val="nil"/>
                    <w:tr2bl w:val="nil"/>
                  </w:tcBorders>
                  <w:noWrap w:val="0"/>
                  <w:vAlign w:val="center"/>
                </w:tcPr>
                <w:p w14:paraId="64894DB8">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48" w:type="pct"/>
                  <w:tcBorders>
                    <w:tl2br w:val="nil"/>
                    <w:tr2bl w:val="nil"/>
                  </w:tcBorders>
                  <w:noWrap w:val="0"/>
                  <w:vAlign w:val="center"/>
                </w:tcPr>
                <w:p w14:paraId="66EA00E0">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25kg/袋</w:t>
                  </w:r>
                </w:p>
              </w:tc>
              <w:tc>
                <w:tcPr>
                  <w:tcW w:w="581" w:type="pct"/>
                  <w:vMerge w:val="continue"/>
                  <w:tcBorders>
                    <w:tl2br w:val="nil"/>
                    <w:tr2bl w:val="nil"/>
                  </w:tcBorders>
                  <w:noWrap w:val="0"/>
                  <w:vAlign w:val="center"/>
                </w:tcPr>
                <w:p w14:paraId="557737C0">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p>
              </w:tc>
            </w:tr>
            <w:tr w14:paraId="4A2FFE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89" w:type="pct"/>
                  <w:tcBorders>
                    <w:tl2br w:val="nil"/>
                    <w:tr2bl w:val="nil"/>
                  </w:tcBorders>
                  <w:noWrap w:val="0"/>
                  <w:vAlign w:val="center"/>
                </w:tcPr>
                <w:p w14:paraId="3F7D74E1">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4</w:t>
                  </w:r>
                </w:p>
              </w:tc>
              <w:tc>
                <w:tcPr>
                  <w:tcW w:w="358" w:type="pct"/>
                  <w:vMerge w:val="continue"/>
                  <w:tcBorders>
                    <w:tl2br w:val="nil"/>
                    <w:tr2bl w:val="nil"/>
                  </w:tcBorders>
                  <w:noWrap w:val="0"/>
                  <w:vAlign w:val="center"/>
                </w:tcPr>
                <w:p w14:paraId="78F906BF">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725" w:type="pct"/>
                  <w:tcBorders>
                    <w:tl2br w:val="nil"/>
                    <w:tr2bl w:val="nil"/>
                  </w:tcBorders>
                  <w:noWrap w:val="0"/>
                  <w:vAlign w:val="center"/>
                </w:tcPr>
                <w:p w14:paraId="5F891E1C">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ESO</w:t>
                  </w:r>
                </w:p>
              </w:tc>
              <w:tc>
                <w:tcPr>
                  <w:tcW w:w="1361" w:type="pct"/>
                  <w:tcBorders>
                    <w:tl2br w:val="nil"/>
                    <w:tr2bl w:val="nil"/>
                  </w:tcBorders>
                  <w:noWrap w:val="0"/>
                  <w:vAlign w:val="center"/>
                </w:tcPr>
                <w:p w14:paraId="4AECEAFE">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环氧大豆油</w:t>
                  </w:r>
                  <w:r>
                    <w:rPr>
                      <w:rFonts w:hint="eastAsia"/>
                      <w:color w:val="auto"/>
                      <w:lang w:eastAsia="zh-CN"/>
                    </w:rPr>
                    <w:t>，</w:t>
                  </w:r>
                  <w:r>
                    <w:rPr>
                      <w:rFonts w:hint="eastAsia"/>
                      <w:color w:val="auto"/>
                      <w:lang w:val="en-US" w:eastAsia="zh-CN"/>
                    </w:rPr>
                    <w:t>液体</w:t>
                  </w:r>
                </w:p>
              </w:tc>
              <w:tc>
                <w:tcPr>
                  <w:tcW w:w="441" w:type="pct"/>
                  <w:tcBorders>
                    <w:tl2br w:val="nil"/>
                    <w:tr2bl w:val="nil"/>
                  </w:tcBorders>
                  <w:noWrap w:val="0"/>
                  <w:vAlign w:val="center"/>
                </w:tcPr>
                <w:p w14:paraId="1678940B">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4</w:t>
                  </w:r>
                </w:p>
              </w:tc>
              <w:tc>
                <w:tcPr>
                  <w:tcW w:w="494" w:type="pct"/>
                  <w:tcBorders>
                    <w:tl2br w:val="nil"/>
                    <w:tr2bl w:val="nil"/>
                  </w:tcBorders>
                  <w:noWrap w:val="0"/>
                  <w:vAlign w:val="center"/>
                </w:tcPr>
                <w:p w14:paraId="35106A87">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748" w:type="pct"/>
                  <w:tcBorders>
                    <w:tl2br w:val="nil"/>
                    <w:tr2bl w:val="nil"/>
                  </w:tcBorders>
                  <w:noWrap w:val="0"/>
                  <w:vAlign w:val="center"/>
                </w:tcPr>
                <w:p w14:paraId="7AE13515">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200kg/桶</w:t>
                  </w:r>
                </w:p>
              </w:tc>
              <w:tc>
                <w:tcPr>
                  <w:tcW w:w="581" w:type="pct"/>
                  <w:vMerge w:val="continue"/>
                  <w:tcBorders>
                    <w:tl2br w:val="nil"/>
                    <w:tr2bl w:val="nil"/>
                  </w:tcBorders>
                  <w:noWrap w:val="0"/>
                  <w:vAlign w:val="center"/>
                </w:tcPr>
                <w:p w14:paraId="7A576403">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p>
              </w:tc>
            </w:tr>
            <w:tr w14:paraId="4537B1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89" w:type="pct"/>
                  <w:tcBorders>
                    <w:tl2br w:val="nil"/>
                    <w:tr2bl w:val="nil"/>
                  </w:tcBorders>
                  <w:noWrap w:val="0"/>
                  <w:vAlign w:val="center"/>
                </w:tcPr>
                <w:p w14:paraId="43EB21F6">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5</w:t>
                  </w:r>
                </w:p>
              </w:tc>
              <w:tc>
                <w:tcPr>
                  <w:tcW w:w="358" w:type="pct"/>
                  <w:vMerge w:val="continue"/>
                  <w:tcBorders>
                    <w:tl2br w:val="nil"/>
                    <w:tr2bl w:val="nil"/>
                  </w:tcBorders>
                  <w:noWrap w:val="0"/>
                  <w:vAlign w:val="center"/>
                </w:tcPr>
                <w:p w14:paraId="1FC8BF83">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725" w:type="pct"/>
                  <w:tcBorders>
                    <w:tl2br w:val="nil"/>
                    <w:tr2bl w:val="nil"/>
                  </w:tcBorders>
                  <w:noWrap w:val="0"/>
                  <w:vAlign w:val="center"/>
                </w:tcPr>
                <w:p w14:paraId="5C1EE38B">
                  <w:pPr>
                    <w:pStyle w:val="375"/>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色母</w:t>
                  </w:r>
                </w:p>
              </w:tc>
              <w:tc>
                <w:tcPr>
                  <w:tcW w:w="1361" w:type="pct"/>
                  <w:tcBorders>
                    <w:tl2br w:val="nil"/>
                    <w:tr2bl w:val="nil"/>
                  </w:tcBorders>
                  <w:noWrap w:val="0"/>
                  <w:vAlign w:val="center"/>
                </w:tcPr>
                <w:p w14:paraId="06EA4A6E">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助剂8%、色粉8%、钛白粉12%、碳酸钙17%、PE料55%</w:t>
                  </w:r>
                  <w:r>
                    <w:rPr>
                      <w:rFonts w:hint="eastAsia"/>
                      <w:color w:val="auto"/>
                      <w:lang w:eastAsia="zh-CN"/>
                    </w:rPr>
                    <w:t>，</w:t>
                  </w:r>
                  <w:r>
                    <w:rPr>
                      <w:rFonts w:hint="eastAsia"/>
                      <w:color w:val="auto"/>
                      <w:lang w:val="en-US" w:eastAsia="zh-CN"/>
                    </w:rPr>
                    <w:t>不含重金属，粉料</w:t>
                  </w:r>
                </w:p>
              </w:tc>
              <w:tc>
                <w:tcPr>
                  <w:tcW w:w="441" w:type="pct"/>
                  <w:tcBorders>
                    <w:tl2br w:val="nil"/>
                    <w:tr2bl w:val="nil"/>
                  </w:tcBorders>
                  <w:noWrap w:val="0"/>
                  <w:vAlign w:val="center"/>
                </w:tcPr>
                <w:p w14:paraId="0B0FCD66">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494" w:type="pct"/>
                  <w:tcBorders>
                    <w:tl2br w:val="nil"/>
                    <w:tr2bl w:val="nil"/>
                  </w:tcBorders>
                  <w:noWrap w:val="0"/>
                  <w:vAlign w:val="center"/>
                </w:tcPr>
                <w:p w14:paraId="262A6892">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48" w:type="pct"/>
                  <w:tcBorders>
                    <w:tl2br w:val="nil"/>
                    <w:tr2bl w:val="nil"/>
                  </w:tcBorders>
                  <w:noWrap w:val="0"/>
                  <w:vAlign w:val="center"/>
                </w:tcPr>
                <w:p w14:paraId="289DB09D">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25kg/袋</w:t>
                  </w:r>
                </w:p>
              </w:tc>
              <w:tc>
                <w:tcPr>
                  <w:tcW w:w="581" w:type="pct"/>
                  <w:vMerge w:val="continue"/>
                  <w:tcBorders>
                    <w:tl2br w:val="nil"/>
                    <w:tr2bl w:val="nil"/>
                  </w:tcBorders>
                  <w:noWrap w:val="0"/>
                  <w:vAlign w:val="center"/>
                </w:tcPr>
                <w:p w14:paraId="6AF4D856">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p>
              </w:tc>
            </w:tr>
            <w:tr w14:paraId="7C0588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89" w:type="pct"/>
                  <w:tcBorders>
                    <w:tl2br w:val="nil"/>
                    <w:tr2bl w:val="nil"/>
                  </w:tcBorders>
                  <w:noWrap w:val="0"/>
                  <w:vAlign w:val="center"/>
                </w:tcPr>
                <w:p w14:paraId="09729FE6">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w:t>
                  </w:r>
                </w:p>
              </w:tc>
              <w:tc>
                <w:tcPr>
                  <w:tcW w:w="358" w:type="pct"/>
                  <w:tcBorders>
                    <w:tl2br w:val="nil"/>
                    <w:tr2bl w:val="nil"/>
                  </w:tcBorders>
                  <w:noWrap w:val="0"/>
                  <w:vAlign w:val="center"/>
                </w:tcPr>
                <w:p w14:paraId="4317E8A2">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辅料</w:t>
                  </w:r>
                </w:p>
              </w:tc>
              <w:tc>
                <w:tcPr>
                  <w:tcW w:w="725" w:type="pct"/>
                  <w:tcBorders>
                    <w:tl2br w:val="nil"/>
                    <w:tr2bl w:val="nil"/>
                  </w:tcBorders>
                  <w:noWrap w:val="0"/>
                  <w:vAlign w:val="center"/>
                </w:tcPr>
                <w:p w14:paraId="203E4D3F">
                  <w:pPr>
                    <w:pStyle w:val="375"/>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齿轮油</w:t>
                  </w:r>
                </w:p>
              </w:tc>
              <w:tc>
                <w:tcPr>
                  <w:tcW w:w="1361" w:type="pct"/>
                  <w:tcBorders>
                    <w:tl2br w:val="nil"/>
                    <w:tr2bl w:val="nil"/>
                  </w:tcBorders>
                  <w:noWrap w:val="0"/>
                  <w:vAlign w:val="center"/>
                </w:tcPr>
                <w:p w14:paraId="6A352889">
                  <w:pPr>
                    <w:keepNext w:val="0"/>
                    <w:keepLines w:val="0"/>
                    <w:pageBreakBefore w:val="0"/>
                    <w:widowControl/>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精炼基础</w:t>
                  </w:r>
                  <w:r>
                    <w:rPr>
                      <w:rFonts w:hint="default" w:ascii="Times New Roman" w:hAnsi="Times New Roman" w:eastAsia="宋体" w:cs="Times New Roman"/>
                      <w:color w:val="auto"/>
                      <w:kern w:val="2"/>
                      <w:sz w:val="21"/>
                      <w:szCs w:val="21"/>
                      <w:lang w:val="en-US" w:eastAsia="zh-CN" w:bidi="ar-SA"/>
                    </w:rPr>
                    <w:t>油</w:t>
                  </w:r>
                  <w:r>
                    <w:rPr>
                      <w:rFonts w:hint="eastAsia" w:cs="Times New Roman"/>
                      <w:color w:val="auto"/>
                      <w:kern w:val="2"/>
                      <w:sz w:val="21"/>
                      <w:szCs w:val="21"/>
                      <w:lang w:val="en-US" w:eastAsia="zh-CN" w:bidi="ar-SA"/>
                    </w:rPr>
                    <w:t>≥98.5%、添加剂≤1.5%，液体</w:t>
                  </w:r>
                </w:p>
              </w:tc>
              <w:tc>
                <w:tcPr>
                  <w:tcW w:w="441" w:type="pct"/>
                  <w:tcBorders>
                    <w:tl2br w:val="nil"/>
                    <w:tr2bl w:val="nil"/>
                  </w:tcBorders>
                  <w:noWrap w:val="0"/>
                  <w:vAlign w:val="center"/>
                </w:tcPr>
                <w:p w14:paraId="788C9B07">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494" w:type="pct"/>
                  <w:tcBorders>
                    <w:tl2br w:val="nil"/>
                    <w:tr2bl w:val="nil"/>
                  </w:tcBorders>
                  <w:noWrap w:val="0"/>
                  <w:vAlign w:val="center"/>
                </w:tcPr>
                <w:p w14:paraId="33FEED52">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748" w:type="pct"/>
                  <w:tcBorders>
                    <w:tl2br w:val="nil"/>
                    <w:tr2bl w:val="nil"/>
                  </w:tcBorders>
                  <w:noWrap w:val="0"/>
                  <w:vAlign w:val="center"/>
                </w:tcPr>
                <w:p w14:paraId="2C39C5D1">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200kg/桶</w:t>
                  </w:r>
                </w:p>
              </w:tc>
              <w:tc>
                <w:tcPr>
                  <w:tcW w:w="581" w:type="pct"/>
                  <w:vMerge w:val="continue"/>
                  <w:tcBorders>
                    <w:tl2br w:val="nil"/>
                    <w:tr2bl w:val="nil"/>
                  </w:tcBorders>
                  <w:noWrap w:val="0"/>
                  <w:vAlign w:val="center"/>
                </w:tcPr>
                <w:p w14:paraId="2BC6BDC8">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sz w:val="21"/>
                      <w:szCs w:val="21"/>
                      <w:lang w:val="en-US" w:eastAsia="zh-CN"/>
                    </w:rPr>
                  </w:pPr>
                </w:p>
              </w:tc>
            </w:tr>
          </w:tbl>
          <w:p w14:paraId="3946EE64">
            <w:pPr>
              <w:spacing w:line="240" w:lineRule="auto"/>
              <w:ind w:firstLine="0" w:firstLineChars="0"/>
              <w:jc w:val="left"/>
              <w:rPr>
                <w:color w:val="auto"/>
              </w:rPr>
            </w:pPr>
            <w:r>
              <w:rPr>
                <w:rFonts w:hint="eastAsia" w:ascii="Times New Roman" w:hAnsi="Times New Roman" w:eastAsia="宋体" w:cs="Times New Roman"/>
                <w:bCs/>
                <w:color w:val="auto"/>
                <w:kern w:val="2"/>
                <w:sz w:val="21"/>
                <w:szCs w:val="21"/>
                <w:highlight w:val="none"/>
                <w:shd w:val="clear" w:color="auto" w:fill="auto"/>
                <w:lang w:val="en-US" w:eastAsia="zh-CN" w:bidi="ar-SA"/>
              </w:rPr>
              <w:t>注：本项目使用</w:t>
            </w:r>
            <w:r>
              <w:rPr>
                <w:rFonts w:hint="eastAsia" w:cs="Times New Roman"/>
                <w:bCs/>
                <w:color w:val="auto"/>
                <w:kern w:val="2"/>
                <w:sz w:val="21"/>
                <w:szCs w:val="21"/>
                <w:highlight w:val="none"/>
                <w:shd w:val="clear" w:color="auto" w:fill="auto"/>
                <w:lang w:val="en-US" w:eastAsia="zh-CN" w:bidi="ar-SA"/>
              </w:rPr>
              <w:t>的原</w:t>
            </w:r>
            <w:r>
              <w:rPr>
                <w:rFonts w:hint="eastAsia" w:ascii="Times New Roman" w:hAnsi="Times New Roman" w:eastAsia="宋体" w:cs="Times New Roman"/>
                <w:bCs/>
                <w:color w:val="auto"/>
                <w:kern w:val="2"/>
                <w:sz w:val="21"/>
                <w:szCs w:val="21"/>
                <w:highlight w:val="none"/>
                <w:shd w:val="clear" w:color="auto" w:fill="auto"/>
                <w:lang w:val="en-US" w:eastAsia="zh-CN" w:bidi="ar-SA"/>
              </w:rPr>
              <w:t>料</w:t>
            </w:r>
            <w:r>
              <w:rPr>
                <w:rFonts w:hint="eastAsia" w:cs="Times New Roman"/>
                <w:bCs/>
                <w:color w:val="auto"/>
                <w:kern w:val="2"/>
                <w:sz w:val="21"/>
                <w:szCs w:val="21"/>
                <w:highlight w:val="none"/>
                <w:shd w:val="clear" w:color="auto" w:fill="auto"/>
                <w:lang w:val="en-US" w:eastAsia="zh-CN" w:bidi="ar-SA"/>
              </w:rPr>
              <w:t>均为新料，不使用回收塑料</w:t>
            </w:r>
            <w:r>
              <w:rPr>
                <w:rFonts w:hint="eastAsia" w:ascii="Times New Roman" w:hAnsi="Times New Roman" w:eastAsia="宋体" w:cs="Times New Roman"/>
                <w:bCs/>
                <w:color w:val="auto"/>
                <w:kern w:val="2"/>
                <w:sz w:val="21"/>
                <w:szCs w:val="21"/>
                <w:highlight w:val="none"/>
                <w:shd w:val="clear" w:color="auto" w:fill="auto"/>
                <w:lang w:val="en-US" w:eastAsia="zh-CN" w:bidi="ar-SA"/>
              </w:rPr>
              <w:t>。</w:t>
            </w:r>
          </w:p>
          <w:p w14:paraId="269027A0">
            <w:pPr>
              <w:spacing w:line="240" w:lineRule="auto"/>
              <w:ind w:firstLine="0" w:firstLineChars="0"/>
              <w:jc w:val="center"/>
              <w:rPr>
                <w:rFonts w:hint="default" w:ascii="Times New Roman" w:hAnsi="Times New Roman" w:eastAsia="宋体" w:cs="Times New Roman"/>
                <w:b/>
                <w:bCs/>
                <w:color w:val="auto"/>
                <w:sz w:val="21"/>
                <w:szCs w:val="21"/>
              </w:rPr>
            </w:pPr>
          </w:p>
          <w:p w14:paraId="46F3647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主要原辅料、理化特性、毒性毒理</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242"/>
              <w:gridCol w:w="5110"/>
              <w:gridCol w:w="1419"/>
              <w:gridCol w:w="1470"/>
            </w:tblGrid>
            <w:tr w14:paraId="3899B700">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jc w:val="center"/>
              </w:trPr>
              <w:tc>
                <w:tcPr>
                  <w:tcW w:w="672" w:type="pct"/>
                  <w:noWrap w:val="0"/>
                  <w:vAlign w:val="center"/>
                </w:tcPr>
                <w:p w14:paraId="624D4391">
                  <w:pPr>
                    <w:keepNext w:val="0"/>
                    <w:keepLines w:val="0"/>
                    <w:pageBreakBefore w:val="0"/>
                    <w:tabs>
                      <w:tab w:val="left" w:pos="3628"/>
                    </w:tabs>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名称</w:t>
                  </w:r>
                </w:p>
              </w:tc>
              <w:tc>
                <w:tcPr>
                  <w:tcW w:w="2764" w:type="pct"/>
                  <w:noWrap w:val="0"/>
                  <w:vAlign w:val="center"/>
                </w:tcPr>
                <w:p w14:paraId="122569FF">
                  <w:pPr>
                    <w:keepNext w:val="0"/>
                    <w:keepLines w:val="0"/>
                    <w:pageBreakBefore w:val="0"/>
                    <w:tabs>
                      <w:tab w:val="left" w:pos="3628"/>
                    </w:tabs>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理化性质</w:t>
                  </w:r>
                </w:p>
              </w:tc>
              <w:tc>
                <w:tcPr>
                  <w:tcW w:w="767" w:type="pct"/>
                  <w:noWrap w:val="0"/>
                  <w:vAlign w:val="center"/>
                </w:tcPr>
                <w:p w14:paraId="5EBC0654">
                  <w:pPr>
                    <w:keepNext w:val="0"/>
                    <w:keepLines w:val="0"/>
                    <w:pageBreakBefore w:val="0"/>
                    <w:tabs>
                      <w:tab w:val="left" w:pos="1059"/>
                    </w:tabs>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燃烧爆炸性</w:t>
                  </w:r>
                </w:p>
              </w:tc>
              <w:tc>
                <w:tcPr>
                  <w:tcW w:w="795" w:type="pct"/>
                  <w:noWrap w:val="0"/>
                  <w:vAlign w:val="center"/>
                </w:tcPr>
                <w:p w14:paraId="02B2E044">
                  <w:pPr>
                    <w:keepNext w:val="0"/>
                    <w:keepLines w:val="0"/>
                    <w:pageBreakBefore w:val="0"/>
                    <w:tabs>
                      <w:tab w:val="left" w:pos="1059"/>
                    </w:tabs>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毒理性质</w:t>
                  </w:r>
                </w:p>
              </w:tc>
            </w:tr>
            <w:tr w14:paraId="4CC8B21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907" w:hRule="atLeast"/>
                <w:jc w:val="center"/>
              </w:trPr>
              <w:tc>
                <w:tcPr>
                  <w:tcW w:w="672" w:type="pct"/>
                  <w:noWrap w:val="0"/>
                  <w:vAlign w:val="center"/>
                </w:tcPr>
                <w:p w14:paraId="6687A62F">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kern w:val="2"/>
                      <w:sz w:val="21"/>
                      <w:szCs w:val="21"/>
                      <w:lang w:val="en-US" w:eastAsia="zh-CN" w:bidi="ar-SA"/>
                    </w:rPr>
                    <w:t>PVC</w:t>
                  </w:r>
                </w:p>
              </w:tc>
              <w:tc>
                <w:tcPr>
                  <w:tcW w:w="2764" w:type="pct"/>
                  <w:noWrap w:val="0"/>
                  <w:vAlign w:val="center"/>
                </w:tcPr>
                <w:p w14:paraId="5521949E">
                  <w:pPr>
                    <w:pStyle w:val="386"/>
                    <w:keepNext w:val="0"/>
                    <w:keepLines w:val="0"/>
                    <w:pageBreakBefore w:val="0"/>
                    <w:kinsoku/>
                    <w:wordWrap/>
                    <w:overflowPunct/>
                    <w:topLinePunct w:val="0"/>
                    <w:autoSpaceDE/>
                    <w:autoSpaceDN/>
                    <w:bidi w:val="0"/>
                    <w:snapToGrid/>
                    <w:spacing w:line="240" w:lineRule="auto"/>
                    <w:ind w:firstLine="0" w:firstLineChars="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VC粒子为微黄色半透明状，有光泽。透明度胜于聚乙烯、聚丙烯，差于聚苯乙烯，随助剂用量不同，分为软、硬聚氯乙烯，软制品柔而韧，手感粘，硬制品的硬度高于低密度聚乙烯，而低于聚丙烯，在屈折处会出现白化现象。PVC为非结晶性的热敏性塑料，收缩率为0.2-0.6%。具有抗化学能力好(主要是能抗酸、碱、油)、自熄阻燃、耐磨、电绝缘性好、刚性好等优点。一般分为硬质和软质，其区别在于原料中加入增塑剂的多少，少于10%为硬质，多于30%为软质。我们常说的 PVC一般指硬 PVC(UPVC)。但它热稳定性差，容易分解。PVC 无明显的熔点，60℃变软，100℃-150℃粘弹态，140℃熔融，成型温度范围窄，170℃分解迅速(即使加入各种助剂改性，分解温度也很少超过200℃)，软化点接近于分解点，分解释放于HCL有毒气体，故对一般钢材有腐蚀的作用。PVC 熔体粘度高，流动性差，即使提高注射压力和熔体温度，流动性的变化也不大。温度时间均会导致分解。</w:t>
                  </w:r>
                </w:p>
              </w:tc>
              <w:tc>
                <w:tcPr>
                  <w:tcW w:w="767" w:type="pct"/>
                  <w:noWrap w:val="0"/>
                  <w:vAlign w:val="center"/>
                </w:tcPr>
                <w:p w14:paraId="279EB1E2">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可</w:t>
                  </w:r>
                  <w:r>
                    <w:rPr>
                      <w:rFonts w:hint="default" w:ascii="Times New Roman" w:hAnsi="Times New Roman" w:eastAsia="宋体" w:cs="Times New Roman"/>
                      <w:color w:val="auto"/>
                      <w:sz w:val="21"/>
                      <w:szCs w:val="21"/>
                    </w:rPr>
                    <w:t>燃</w:t>
                  </w:r>
                </w:p>
              </w:tc>
              <w:tc>
                <w:tcPr>
                  <w:tcW w:w="795" w:type="pct"/>
                  <w:noWrap w:val="0"/>
                  <w:vAlign w:val="center"/>
                </w:tcPr>
                <w:p w14:paraId="03B7E9ED">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625A4B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672" w:type="pct"/>
                  <w:noWrap w:val="0"/>
                  <w:vAlign w:val="center"/>
                </w:tcPr>
                <w:p w14:paraId="43806B38">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2"/>
                      <w:sz w:val="21"/>
                      <w:szCs w:val="21"/>
                      <w:lang w:val="en-US" w:eastAsia="zh-CN" w:bidi="ar-SA"/>
                    </w:rPr>
                    <w:t>重质碳酸钙</w:t>
                  </w:r>
                </w:p>
              </w:tc>
              <w:tc>
                <w:tcPr>
                  <w:tcW w:w="2764" w:type="pct"/>
                  <w:noWrap w:val="0"/>
                  <w:vAlign w:val="center"/>
                </w:tcPr>
                <w:p w14:paraId="24863F08">
                  <w:pPr>
                    <w:pStyle w:val="386"/>
                    <w:keepNext w:val="0"/>
                    <w:keepLines w:val="0"/>
                    <w:pageBreakBefore w:val="0"/>
                    <w:kinsoku/>
                    <w:wordWrap/>
                    <w:overflowPunct/>
                    <w:topLinePunct w:val="0"/>
                    <w:autoSpaceDE/>
                    <w:autoSpaceDN/>
                    <w:bidi w:val="0"/>
                    <w:snapToGri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重质碳酸钙为白色轻质粉末，无臭，无味，熔点为1339℃，粒径范围1.0~1.6μm。难溶于水和醇，遇水溶解生成碳酸氢钙。在空气中稳定，有轻微吸槽能力。主要用于塑料、橡胶的填充剂和补强剂之一，能使塑料易于加工成型。</w:t>
                  </w:r>
                </w:p>
              </w:tc>
              <w:tc>
                <w:tcPr>
                  <w:tcW w:w="767" w:type="pct"/>
                  <w:noWrap w:val="0"/>
                  <w:vAlign w:val="center"/>
                </w:tcPr>
                <w:p w14:paraId="5E1D975F">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不可燃</w:t>
                  </w:r>
                </w:p>
              </w:tc>
              <w:tc>
                <w:tcPr>
                  <w:tcW w:w="795" w:type="pct"/>
                  <w:noWrap w:val="0"/>
                  <w:vAlign w:val="center"/>
                </w:tcPr>
                <w:p w14:paraId="3DF1FE16">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b w:val="0"/>
                      <w:color w:val="auto"/>
                      <w:spacing w:val="0"/>
                      <w:kern w:val="0"/>
                      <w:sz w:val="21"/>
                      <w:szCs w:val="20"/>
                      <w:lang w:val="en-US" w:eastAsia="zh-CN" w:bidi="ar-SA"/>
                    </w:rPr>
                    <w:t>LD</w:t>
                  </w:r>
                  <w:r>
                    <w:rPr>
                      <w:rFonts w:hint="default" w:ascii="Times New Roman" w:hAnsi="Times New Roman" w:eastAsia="宋体" w:cs="Times New Roman"/>
                      <w:b w:val="0"/>
                      <w:color w:val="auto"/>
                      <w:spacing w:val="0"/>
                      <w:kern w:val="0"/>
                      <w:sz w:val="21"/>
                      <w:szCs w:val="20"/>
                      <w:vertAlign w:val="subscript"/>
                      <w:lang w:val="en-US" w:eastAsia="zh-CN" w:bidi="ar-SA"/>
                    </w:rPr>
                    <w:t>50</w:t>
                  </w:r>
                  <w:r>
                    <w:rPr>
                      <w:rFonts w:hint="default" w:ascii="Times New Roman" w:hAnsi="Times New Roman" w:eastAsia="宋体" w:cs="Times New Roman"/>
                      <w:b w:val="0"/>
                      <w:color w:val="auto"/>
                      <w:spacing w:val="0"/>
                      <w:kern w:val="0"/>
                      <w:sz w:val="21"/>
                      <w:szCs w:val="20"/>
                      <w:lang w:val="en-US" w:eastAsia="zh-CN" w:bidi="ar-SA"/>
                    </w:rPr>
                    <w:t>：6450mg/kg（大白鼠经口）</w:t>
                  </w:r>
                </w:p>
              </w:tc>
            </w:tr>
            <w:tr w14:paraId="2DD1C93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672" w:type="pct"/>
                  <w:noWrap w:val="0"/>
                  <w:vAlign w:val="center"/>
                </w:tcPr>
                <w:p w14:paraId="47341F63">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kern w:val="1"/>
                      <w:sz w:val="21"/>
                      <w:szCs w:val="21"/>
                    </w:rPr>
                  </w:pPr>
                  <w:r>
                    <w:rPr>
                      <w:rFonts w:hint="default" w:ascii="Times New Roman" w:hAnsi="Times New Roman" w:eastAsia="宋体" w:cs="Times New Roman"/>
                      <w:i w:val="0"/>
                      <w:iCs w:val="0"/>
                      <w:color w:val="auto"/>
                      <w:kern w:val="0"/>
                      <w:sz w:val="20"/>
                      <w:szCs w:val="20"/>
                      <w:u w:val="none"/>
                      <w:lang w:val="en-US" w:eastAsia="zh-CN" w:bidi="ar"/>
                    </w:rPr>
                    <w:t>环保热稳定剂</w:t>
                  </w:r>
                </w:p>
              </w:tc>
              <w:tc>
                <w:tcPr>
                  <w:tcW w:w="2764" w:type="pct"/>
                  <w:noWrap w:val="0"/>
                  <w:vAlign w:val="center"/>
                </w:tcPr>
                <w:p w14:paraId="2FD6B0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主要成分为钙盐、锌盐、润滑剂和抗氧剂等，通过特殊复合工艺合成。不仅可以取代铅镉盐类和有机锡类等有毒稳定剂，还具备出色的热稳定性、光稳定性和透明性，以及良好的着色力。</w:t>
                  </w:r>
                </w:p>
              </w:tc>
              <w:tc>
                <w:tcPr>
                  <w:tcW w:w="767" w:type="pct"/>
                  <w:noWrap w:val="0"/>
                  <w:vAlign w:val="center"/>
                </w:tcPr>
                <w:p w14:paraId="6A86F424">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不可燃</w:t>
                  </w:r>
                </w:p>
              </w:tc>
              <w:tc>
                <w:tcPr>
                  <w:tcW w:w="795" w:type="pct"/>
                  <w:noWrap w:val="0"/>
                  <w:vAlign w:val="center"/>
                </w:tcPr>
                <w:p w14:paraId="2C8FA9B9">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92C0AB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672" w:type="pct"/>
                  <w:noWrap w:val="0"/>
                  <w:vAlign w:val="center"/>
                </w:tcPr>
                <w:p w14:paraId="285BE91D">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kern w:val="1"/>
                      <w:sz w:val="21"/>
                      <w:szCs w:val="21"/>
                    </w:rPr>
                  </w:pPr>
                  <w:r>
                    <w:rPr>
                      <w:rFonts w:hint="default" w:ascii="Times New Roman" w:hAnsi="Times New Roman" w:eastAsia="宋体" w:cs="Times New Roman"/>
                      <w:i w:val="0"/>
                      <w:iCs w:val="0"/>
                      <w:color w:val="auto"/>
                      <w:kern w:val="0"/>
                      <w:sz w:val="20"/>
                      <w:szCs w:val="20"/>
                      <w:u w:val="none"/>
                      <w:lang w:val="en-US" w:eastAsia="zh-CN" w:bidi="ar"/>
                    </w:rPr>
                    <w:t>ESO</w:t>
                  </w:r>
                </w:p>
              </w:tc>
              <w:tc>
                <w:tcPr>
                  <w:tcW w:w="2764" w:type="pct"/>
                  <w:noWrap w:val="0"/>
                  <w:vAlign w:val="center"/>
                </w:tcPr>
                <w:p w14:paraId="5DBAD66A">
                  <w:pPr>
                    <w:pStyle w:val="386"/>
                    <w:keepNext w:val="0"/>
                    <w:keepLines w:val="0"/>
                    <w:pageBreakBefore w:val="0"/>
                    <w:kinsoku/>
                    <w:wordWrap/>
                    <w:overflowPunct/>
                    <w:topLinePunct w:val="0"/>
                    <w:autoSpaceDE/>
                    <w:autoSpaceDN/>
                    <w:bidi w:val="0"/>
                    <w:snapToGri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氧大豆油(简称ESO)，是一类有机物，化学式为(RC2H2OR'COO)3C3H5，常温下为浅黄色黏稠油状液体。无毒。沸点150℃。溶于大多数有机溶剂和烃类，不溶于水。具有优良的耐热、耐光性及相溶性。常用于聚氯乙烯制品作增塑剂，尤其适用于聚氯乙烯透明制品、食品包装制品及其它无毒制品中。</w:t>
                  </w:r>
                </w:p>
              </w:tc>
              <w:tc>
                <w:tcPr>
                  <w:tcW w:w="767" w:type="pct"/>
                  <w:noWrap w:val="0"/>
                  <w:vAlign w:val="center"/>
                </w:tcPr>
                <w:p w14:paraId="58971836">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可燃</w:t>
                  </w:r>
                </w:p>
              </w:tc>
              <w:tc>
                <w:tcPr>
                  <w:tcW w:w="795" w:type="pct"/>
                  <w:noWrap w:val="0"/>
                  <w:vAlign w:val="center"/>
                </w:tcPr>
                <w:p w14:paraId="37CD7A3F">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14:paraId="436324DA">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672" w:type="pct"/>
                  <w:noWrap w:val="0"/>
                  <w:vAlign w:val="center"/>
                </w:tcPr>
                <w:p w14:paraId="69FECEAC">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色母</w:t>
                  </w:r>
                </w:p>
              </w:tc>
              <w:tc>
                <w:tcPr>
                  <w:tcW w:w="2764" w:type="pct"/>
                  <w:noWrap w:val="0"/>
                  <w:vAlign w:val="center"/>
                </w:tcPr>
                <w:p w14:paraId="79097DD5">
                  <w:pPr>
                    <w:pStyle w:val="386"/>
                    <w:keepNext w:val="0"/>
                    <w:keepLines w:val="0"/>
                    <w:pageBreakBefore w:val="0"/>
                    <w:kinsoku/>
                    <w:wordWrap/>
                    <w:overflowPunct/>
                    <w:topLinePunct w:val="0"/>
                    <w:autoSpaceDE/>
                    <w:autoSpaceDN/>
                    <w:bidi w:val="0"/>
                    <w:snapToGrid/>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外观与形态：为干燥、疏松的粉末。粒径与分布：平均粒径：通常非常细小，一般在几微米到几十微米之间。粒径越小，理论上着色力和遮盖力越好。流动性：指粉末在重力作用下流动的能力。流动性</w:t>
                  </w:r>
                  <w:r>
                    <w:rPr>
                      <w:rFonts w:hint="eastAsia" w:cs="Times New Roman"/>
                      <w:color w:val="auto"/>
                      <w:sz w:val="21"/>
                      <w:szCs w:val="21"/>
                      <w:lang w:val="en-US" w:eastAsia="zh-CN"/>
                    </w:rPr>
                    <w:t>良好，</w:t>
                  </w:r>
                  <w:r>
                    <w:rPr>
                      <w:rFonts w:hint="default" w:ascii="Times New Roman" w:hAnsi="Times New Roman" w:eastAsia="宋体" w:cs="Times New Roman"/>
                      <w:color w:val="auto"/>
                      <w:sz w:val="21"/>
                      <w:szCs w:val="21"/>
                      <w:lang w:val="en-US" w:eastAsia="zh-CN"/>
                    </w:rPr>
                    <w:t>对于自动化生产中的精确计量和下料至关重要。流动性差会导致下料不畅、架桥，造成色差。</w:t>
                  </w:r>
                </w:p>
              </w:tc>
              <w:tc>
                <w:tcPr>
                  <w:tcW w:w="767" w:type="pct"/>
                  <w:noWrap w:val="0"/>
                  <w:vAlign w:val="center"/>
                </w:tcPr>
                <w:p w14:paraId="41946659">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不燃</w:t>
                  </w:r>
                </w:p>
              </w:tc>
              <w:tc>
                <w:tcPr>
                  <w:tcW w:w="795" w:type="pct"/>
                  <w:noWrap w:val="0"/>
                  <w:vAlign w:val="center"/>
                </w:tcPr>
                <w:p w14:paraId="47EAEF83">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0B2D8A48">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83" w:hRule="atLeast"/>
                <w:jc w:val="center"/>
              </w:trPr>
              <w:tc>
                <w:tcPr>
                  <w:tcW w:w="672" w:type="pct"/>
                  <w:noWrap w:val="0"/>
                  <w:vAlign w:val="center"/>
                </w:tcPr>
                <w:p w14:paraId="38572036">
                  <w:pPr>
                    <w:keepNext w:val="0"/>
                    <w:keepLines w:val="0"/>
                    <w:pageBreakBefore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齿轮油</w:t>
                  </w:r>
                </w:p>
              </w:tc>
              <w:tc>
                <w:tcPr>
                  <w:tcW w:w="2764" w:type="pct"/>
                  <w:noWrap w:val="0"/>
                  <w:vAlign w:val="center"/>
                </w:tcPr>
                <w:p w14:paraId="25BB7E1F">
                  <w:pPr>
                    <w:pStyle w:val="386"/>
                    <w:keepNext w:val="0"/>
                    <w:keepLines w:val="0"/>
                    <w:pageBreakBefore w:val="0"/>
                    <w:kinsoku/>
                    <w:wordWrap/>
                    <w:overflowPunct/>
                    <w:topLinePunct w:val="0"/>
                    <w:autoSpaceDE/>
                    <w:autoSpaceDN/>
                    <w:bidi w:val="0"/>
                    <w:snapToGrid/>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粘度：在40℃时运动粘度一般在201.9mm²/s左右，粘度指数较高，能在不同温度下保持较为稳定的粘度，确保良好的润滑性能。密度：密度通常在0.88-0.89kg/L左右，不同品牌和配方可能略有差异。闪点：开口闪点一般在224℃及以上，具有较高的闪点，意味着在高温环境下有较好的安全性，不易起火燃烧。倾点：倾点通常在-27℃左右，低温下流动性较好，能在较低温度环境中确保齿轮得到有效润滑。抗乳化性：具有良好的抗乳化性能，能快速实现油与水的分离，避免因水分混入而影响润滑效果。</w:t>
                  </w:r>
                </w:p>
              </w:tc>
              <w:tc>
                <w:tcPr>
                  <w:tcW w:w="767" w:type="pct"/>
                  <w:shd w:val="clear" w:color="auto" w:fill="auto"/>
                  <w:noWrap w:val="0"/>
                  <w:vAlign w:val="center"/>
                </w:tcPr>
                <w:p w14:paraId="470AC041">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可燃</w:t>
                  </w:r>
                </w:p>
              </w:tc>
              <w:tc>
                <w:tcPr>
                  <w:tcW w:w="795" w:type="pct"/>
                  <w:shd w:val="clear" w:color="auto" w:fill="auto"/>
                  <w:noWrap w:val="0"/>
                  <w:vAlign w:val="center"/>
                </w:tcPr>
                <w:p w14:paraId="286B4DD3">
                  <w:pPr>
                    <w:pStyle w:val="386"/>
                    <w:keepNext w:val="0"/>
                    <w:keepLines w:val="0"/>
                    <w:pageBreakBefore w:val="0"/>
                    <w:kinsoku/>
                    <w:wordWrap/>
                    <w:overflowPunct/>
                    <w:topLinePunct w:val="0"/>
                    <w:autoSpaceDE/>
                    <w:autoSpaceDN/>
                    <w:bidi w:val="0"/>
                    <w:snapToGrid/>
                    <w:spacing w:line="240" w:lineRule="auto"/>
                    <w:ind w:firstLine="0" w:firstLineChars="0"/>
                    <w:textAlignment w:val="auto"/>
                    <w:rPr>
                      <w:rFonts w:hint="default" w:ascii="Times New Roman" w:hAnsi="Times New Roman" w:eastAsia="宋体" w:cs="Times New Roman"/>
                      <w:i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bl>
          <w:p w14:paraId="1001CE72">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、设备清单</w:t>
            </w:r>
          </w:p>
          <w:p w14:paraId="776D63B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本项目设备清单详见表2-</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p>
          <w:p w14:paraId="0C55F6D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主要设备一览表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8"/>
              <w:gridCol w:w="2269"/>
              <w:gridCol w:w="2512"/>
              <w:gridCol w:w="1788"/>
              <w:gridCol w:w="1341"/>
            </w:tblGrid>
            <w:tr w14:paraId="7CCEC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noWrap w:val="0"/>
                  <w:vAlign w:val="center"/>
                </w:tcPr>
                <w:p w14:paraId="6251A3B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val="en-US" w:eastAsia="zh-CN"/>
                    </w:rPr>
                    <w:t>序号</w:t>
                  </w:r>
                </w:p>
              </w:tc>
              <w:tc>
                <w:tcPr>
                  <w:tcW w:w="1226" w:type="pct"/>
                  <w:tcBorders>
                    <w:tl2br w:val="nil"/>
                    <w:tr2bl w:val="nil"/>
                  </w:tcBorders>
                  <w:noWrap w:val="0"/>
                  <w:vAlign w:val="center"/>
                </w:tcPr>
                <w:p w14:paraId="65EF875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设备名称</w:t>
                  </w:r>
                </w:p>
              </w:tc>
              <w:tc>
                <w:tcPr>
                  <w:tcW w:w="1358" w:type="pct"/>
                  <w:tcBorders>
                    <w:tl2br w:val="nil"/>
                    <w:tr2bl w:val="nil"/>
                  </w:tcBorders>
                  <w:noWrap w:val="0"/>
                  <w:vAlign w:val="center"/>
                </w:tcPr>
                <w:p w14:paraId="73E1941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规格、型号</w:t>
                  </w:r>
                </w:p>
              </w:tc>
              <w:tc>
                <w:tcPr>
                  <w:tcW w:w="966" w:type="pct"/>
                  <w:tcBorders>
                    <w:tl2br w:val="nil"/>
                    <w:tr2bl w:val="nil"/>
                  </w:tcBorders>
                  <w:noWrap w:val="0"/>
                  <w:vAlign w:val="center"/>
                </w:tcPr>
                <w:p w14:paraId="23DDB3E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数量</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lang w:val="en-US" w:eastAsia="zh-CN"/>
                    </w:rPr>
                    <w:t>台/套</w:t>
                  </w:r>
                  <w:r>
                    <w:rPr>
                      <w:rFonts w:hint="default" w:ascii="Times New Roman" w:hAnsi="Times New Roman" w:eastAsia="宋体" w:cs="Times New Roman"/>
                      <w:b/>
                      <w:color w:val="auto"/>
                      <w:sz w:val="21"/>
                      <w:szCs w:val="21"/>
                      <w:lang w:eastAsia="zh-CN"/>
                    </w:rPr>
                    <w:t>）</w:t>
                  </w:r>
                </w:p>
              </w:tc>
              <w:tc>
                <w:tcPr>
                  <w:tcW w:w="725" w:type="pct"/>
                  <w:tcBorders>
                    <w:tl2br w:val="nil"/>
                    <w:tr2bl w:val="nil"/>
                  </w:tcBorders>
                  <w:noWrap w:val="0"/>
                  <w:vAlign w:val="center"/>
                </w:tcPr>
                <w:p w14:paraId="78172D8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备注</w:t>
                  </w:r>
                </w:p>
              </w:tc>
            </w:tr>
            <w:tr w14:paraId="0A281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5191725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1226" w:type="pct"/>
                  <w:tcBorders>
                    <w:tl2br w:val="nil"/>
                    <w:tr2bl w:val="nil"/>
                  </w:tcBorders>
                  <w:shd w:val="clear" w:color="auto" w:fill="auto"/>
                  <w:noWrap w:val="0"/>
                  <w:vAlign w:val="center"/>
                </w:tcPr>
                <w:p w14:paraId="78639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搅拌机</w:t>
                  </w:r>
                </w:p>
              </w:tc>
              <w:tc>
                <w:tcPr>
                  <w:tcW w:w="1358" w:type="pct"/>
                  <w:tcBorders>
                    <w:tl2br w:val="nil"/>
                    <w:tr2bl w:val="nil"/>
                  </w:tcBorders>
                  <w:shd w:val="clear" w:color="auto" w:fill="auto"/>
                  <w:noWrap w:val="0"/>
                  <w:vAlign w:val="center"/>
                </w:tcPr>
                <w:p w14:paraId="3B5670C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定制</w:t>
                  </w:r>
                </w:p>
              </w:tc>
              <w:tc>
                <w:tcPr>
                  <w:tcW w:w="966" w:type="pct"/>
                  <w:tcBorders>
                    <w:tl2br w:val="nil"/>
                    <w:tr2bl w:val="nil"/>
                  </w:tcBorders>
                  <w:shd w:val="clear" w:color="auto" w:fill="auto"/>
                  <w:noWrap w:val="0"/>
                  <w:vAlign w:val="center"/>
                </w:tcPr>
                <w:p w14:paraId="1E2CD9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w:t>
                  </w:r>
                </w:p>
              </w:tc>
              <w:tc>
                <w:tcPr>
                  <w:tcW w:w="725" w:type="pct"/>
                  <w:tcBorders>
                    <w:tl2br w:val="nil"/>
                    <w:tr2bl w:val="nil"/>
                  </w:tcBorders>
                  <w:shd w:val="clear" w:color="auto" w:fill="auto"/>
                  <w:noWrap w:val="0"/>
                  <w:vAlign w:val="center"/>
                </w:tcPr>
                <w:p w14:paraId="4E9BC96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混料</w:t>
                  </w:r>
                </w:p>
              </w:tc>
            </w:tr>
            <w:tr w14:paraId="675DD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373E526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226" w:type="pct"/>
                  <w:tcBorders>
                    <w:tl2br w:val="nil"/>
                    <w:tr2bl w:val="nil"/>
                  </w:tcBorders>
                  <w:shd w:val="clear" w:color="auto" w:fill="auto"/>
                  <w:noWrap w:val="0"/>
                  <w:vAlign w:val="center"/>
                </w:tcPr>
                <w:p w14:paraId="6DC05A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1358" w:type="pct"/>
                  <w:tcBorders>
                    <w:tl2br w:val="nil"/>
                    <w:tr2bl w:val="nil"/>
                  </w:tcBorders>
                  <w:shd w:val="clear" w:color="auto" w:fill="auto"/>
                  <w:noWrap w:val="0"/>
                  <w:vAlign w:val="center"/>
                </w:tcPr>
                <w:p w14:paraId="575226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90</w:t>
                  </w:r>
                  <w:r>
                    <w:rPr>
                      <w:rFonts w:hint="eastAsia" w:cs="Times New Roman"/>
                      <w:color w:val="auto"/>
                      <w:kern w:val="2"/>
                      <w:sz w:val="21"/>
                      <w:szCs w:val="21"/>
                      <w:lang w:val="en-US" w:eastAsia="zh-CN" w:bidi="ar-SA"/>
                    </w:rPr>
                    <w:t>型</w:t>
                  </w:r>
                </w:p>
              </w:tc>
              <w:tc>
                <w:tcPr>
                  <w:tcW w:w="966" w:type="pct"/>
                  <w:tcBorders>
                    <w:tl2br w:val="nil"/>
                    <w:tr2bl w:val="nil"/>
                  </w:tcBorders>
                  <w:shd w:val="clear" w:color="auto" w:fill="auto"/>
                  <w:noWrap w:val="0"/>
                  <w:vAlign w:val="center"/>
                </w:tcPr>
                <w:p w14:paraId="60B2FD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725" w:type="pct"/>
                  <w:tcBorders>
                    <w:tl2br w:val="nil"/>
                    <w:tr2bl w:val="nil"/>
                  </w:tcBorders>
                  <w:shd w:val="clear" w:color="auto" w:fill="auto"/>
                  <w:noWrap w:val="0"/>
                  <w:vAlign w:val="center"/>
                </w:tcPr>
                <w:p w14:paraId="197CC9D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加热挤出</w:t>
                  </w:r>
                </w:p>
              </w:tc>
            </w:tr>
            <w:tr w14:paraId="2F878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269EFEA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1226" w:type="pct"/>
                  <w:tcBorders>
                    <w:tl2br w:val="nil"/>
                    <w:tr2bl w:val="nil"/>
                  </w:tcBorders>
                  <w:shd w:val="clear" w:color="auto" w:fill="auto"/>
                  <w:noWrap w:val="0"/>
                  <w:vAlign w:val="center"/>
                </w:tcPr>
                <w:p w14:paraId="2BC467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1358" w:type="pct"/>
                  <w:tcBorders>
                    <w:tl2br w:val="nil"/>
                    <w:tr2bl w:val="nil"/>
                  </w:tcBorders>
                  <w:shd w:val="clear" w:color="auto" w:fill="auto"/>
                  <w:noWrap w:val="0"/>
                  <w:vAlign w:val="center"/>
                </w:tcPr>
                <w:p w14:paraId="575717B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45</w:t>
                  </w:r>
                  <w:r>
                    <w:rPr>
                      <w:rFonts w:hint="eastAsia" w:cs="Times New Roman"/>
                      <w:color w:val="auto"/>
                      <w:sz w:val="21"/>
                      <w:szCs w:val="21"/>
                      <w:lang w:val="en-US" w:eastAsia="zh-CN"/>
                    </w:rPr>
                    <w:t>型</w:t>
                  </w:r>
                </w:p>
              </w:tc>
              <w:tc>
                <w:tcPr>
                  <w:tcW w:w="966" w:type="pct"/>
                  <w:tcBorders>
                    <w:tl2br w:val="nil"/>
                    <w:tr2bl w:val="nil"/>
                  </w:tcBorders>
                  <w:shd w:val="clear" w:color="auto" w:fill="auto"/>
                  <w:noWrap w:val="0"/>
                  <w:vAlign w:val="center"/>
                </w:tcPr>
                <w:p w14:paraId="2A390C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725" w:type="pct"/>
                  <w:tcBorders>
                    <w:tl2br w:val="nil"/>
                    <w:tr2bl w:val="nil"/>
                  </w:tcBorders>
                  <w:shd w:val="clear" w:color="auto" w:fill="auto"/>
                  <w:noWrap w:val="0"/>
                  <w:vAlign w:val="center"/>
                </w:tcPr>
                <w:p w14:paraId="16EA4EF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加热挤出</w:t>
                  </w:r>
                </w:p>
              </w:tc>
            </w:tr>
            <w:tr w14:paraId="594E2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42EABB5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1226" w:type="pct"/>
                  <w:tcBorders>
                    <w:tl2br w:val="nil"/>
                    <w:tr2bl w:val="nil"/>
                  </w:tcBorders>
                  <w:shd w:val="clear" w:color="auto" w:fill="auto"/>
                  <w:noWrap w:val="0"/>
                  <w:vAlign w:val="center"/>
                </w:tcPr>
                <w:p w14:paraId="156A87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塑胶挤出机</w:t>
                  </w:r>
                </w:p>
              </w:tc>
              <w:tc>
                <w:tcPr>
                  <w:tcW w:w="1358" w:type="pct"/>
                  <w:tcBorders>
                    <w:tl2br w:val="nil"/>
                    <w:tr2bl w:val="nil"/>
                  </w:tcBorders>
                  <w:shd w:val="clear" w:color="auto" w:fill="auto"/>
                  <w:noWrap w:val="0"/>
                  <w:vAlign w:val="center"/>
                </w:tcPr>
                <w:p w14:paraId="681FE61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125</w:t>
                  </w:r>
                  <w:r>
                    <w:rPr>
                      <w:rFonts w:hint="eastAsia"/>
                      <w:color w:val="auto"/>
                      <w:lang w:val="en-US" w:eastAsia="zh-CN"/>
                    </w:rPr>
                    <w:t>型</w:t>
                  </w:r>
                </w:p>
              </w:tc>
              <w:tc>
                <w:tcPr>
                  <w:tcW w:w="966" w:type="pct"/>
                  <w:tcBorders>
                    <w:tl2br w:val="nil"/>
                    <w:tr2bl w:val="nil"/>
                  </w:tcBorders>
                  <w:shd w:val="clear" w:color="auto" w:fill="auto"/>
                  <w:noWrap w:val="0"/>
                  <w:vAlign w:val="center"/>
                </w:tcPr>
                <w:p w14:paraId="144961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725" w:type="pct"/>
                  <w:tcBorders>
                    <w:tl2br w:val="nil"/>
                    <w:tr2bl w:val="nil"/>
                  </w:tcBorders>
                  <w:shd w:val="clear" w:color="auto" w:fill="auto"/>
                  <w:noWrap w:val="0"/>
                  <w:vAlign w:val="center"/>
                </w:tcPr>
                <w:p w14:paraId="0C8EDDC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加热挤出</w:t>
                  </w:r>
                </w:p>
              </w:tc>
            </w:tr>
            <w:tr w14:paraId="2D795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444AFA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1226" w:type="pct"/>
                  <w:tcBorders>
                    <w:tl2br w:val="nil"/>
                    <w:tr2bl w:val="nil"/>
                  </w:tcBorders>
                  <w:noWrap w:val="0"/>
                  <w:vAlign w:val="center"/>
                </w:tcPr>
                <w:p w14:paraId="3B0D87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冷却水箱</w:t>
                  </w:r>
                </w:p>
              </w:tc>
              <w:tc>
                <w:tcPr>
                  <w:tcW w:w="1358" w:type="pct"/>
                  <w:tcBorders>
                    <w:tl2br w:val="nil"/>
                    <w:tr2bl w:val="nil"/>
                  </w:tcBorders>
                  <w:noWrap w:val="0"/>
                  <w:vAlign w:val="center"/>
                </w:tcPr>
                <w:p w14:paraId="07C0589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966" w:type="pct"/>
                  <w:tcBorders>
                    <w:tl2br w:val="nil"/>
                    <w:tr2bl w:val="nil"/>
                  </w:tcBorders>
                  <w:noWrap w:val="0"/>
                  <w:vAlign w:val="center"/>
                </w:tcPr>
                <w:p w14:paraId="35279B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w:t>
                  </w:r>
                </w:p>
              </w:tc>
              <w:tc>
                <w:tcPr>
                  <w:tcW w:w="725" w:type="pct"/>
                  <w:tcBorders>
                    <w:tl2br w:val="nil"/>
                    <w:tr2bl w:val="nil"/>
                  </w:tcBorders>
                  <w:noWrap w:val="0"/>
                  <w:vAlign w:val="center"/>
                </w:tcPr>
                <w:p w14:paraId="71C6EC1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w:t>
                  </w:r>
                </w:p>
              </w:tc>
            </w:tr>
            <w:tr w14:paraId="10B3F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55DCB4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1226" w:type="pct"/>
                  <w:tcBorders>
                    <w:tl2br w:val="nil"/>
                    <w:tr2bl w:val="nil"/>
                  </w:tcBorders>
                  <w:shd w:val="clear" w:color="auto" w:fill="auto"/>
                  <w:noWrap w:val="0"/>
                  <w:vAlign w:val="center"/>
                </w:tcPr>
                <w:p w14:paraId="63592A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烘干机</w:t>
                  </w:r>
                </w:p>
              </w:tc>
              <w:tc>
                <w:tcPr>
                  <w:tcW w:w="1358" w:type="pct"/>
                  <w:tcBorders>
                    <w:tl2br w:val="nil"/>
                    <w:tr2bl w:val="nil"/>
                  </w:tcBorders>
                  <w:shd w:val="clear" w:color="auto" w:fill="auto"/>
                  <w:noWrap w:val="0"/>
                  <w:vAlign w:val="center"/>
                </w:tcPr>
                <w:p w14:paraId="5C0D47C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定制</w:t>
                  </w:r>
                </w:p>
              </w:tc>
              <w:tc>
                <w:tcPr>
                  <w:tcW w:w="966" w:type="pct"/>
                  <w:tcBorders>
                    <w:tl2br w:val="nil"/>
                    <w:tr2bl w:val="nil"/>
                  </w:tcBorders>
                  <w:shd w:val="clear" w:color="auto" w:fill="auto"/>
                  <w:noWrap w:val="0"/>
                  <w:vAlign w:val="center"/>
                </w:tcPr>
                <w:p w14:paraId="001F95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725" w:type="pct"/>
                  <w:tcBorders>
                    <w:tl2br w:val="nil"/>
                    <w:tr2bl w:val="nil"/>
                  </w:tcBorders>
                  <w:shd w:val="clear" w:color="auto" w:fill="auto"/>
                  <w:noWrap w:val="0"/>
                  <w:vAlign w:val="center"/>
                </w:tcPr>
                <w:p w14:paraId="42C388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烘干</w:t>
                  </w:r>
                  <w:r>
                    <w:rPr>
                      <w:rFonts w:hint="eastAsia" w:cs="Times New Roman"/>
                      <w:color w:val="auto"/>
                      <w:sz w:val="21"/>
                      <w:szCs w:val="21"/>
                      <w:lang w:val="en-US" w:eastAsia="zh-CN"/>
                    </w:rPr>
                    <w:t>，电加热30kw</w:t>
                  </w:r>
                </w:p>
              </w:tc>
            </w:tr>
            <w:tr w14:paraId="26025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5D69E2F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1226" w:type="pct"/>
                  <w:tcBorders>
                    <w:tl2br w:val="nil"/>
                    <w:tr2bl w:val="nil"/>
                  </w:tcBorders>
                  <w:shd w:val="clear" w:color="auto" w:fill="auto"/>
                  <w:noWrap w:val="0"/>
                  <w:vAlign w:val="center"/>
                </w:tcPr>
                <w:p w14:paraId="2EEC76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烘箱</w:t>
                  </w:r>
                </w:p>
              </w:tc>
              <w:tc>
                <w:tcPr>
                  <w:tcW w:w="1358" w:type="pct"/>
                  <w:tcBorders>
                    <w:tl2br w:val="nil"/>
                    <w:tr2bl w:val="nil"/>
                  </w:tcBorders>
                  <w:shd w:val="clear" w:color="auto" w:fill="auto"/>
                  <w:noWrap w:val="0"/>
                  <w:vAlign w:val="center"/>
                </w:tcPr>
                <w:p w14:paraId="2BFA2EB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定制</w:t>
                  </w:r>
                </w:p>
              </w:tc>
              <w:tc>
                <w:tcPr>
                  <w:tcW w:w="966" w:type="pct"/>
                  <w:tcBorders>
                    <w:tl2br w:val="nil"/>
                    <w:tr2bl w:val="nil"/>
                  </w:tcBorders>
                  <w:shd w:val="clear" w:color="auto" w:fill="auto"/>
                  <w:noWrap w:val="0"/>
                  <w:vAlign w:val="center"/>
                </w:tcPr>
                <w:p w14:paraId="7A9B12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725" w:type="pct"/>
                  <w:tcBorders>
                    <w:tl2br w:val="nil"/>
                    <w:tr2bl w:val="nil"/>
                  </w:tcBorders>
                  <w:shd w:val="clear" w:color="auto" w:fill="auto"/>
                  <w:noWrap w:val="0"/>
                  <w:vAlign w:val="center"/>
                </w:tcPr>
                <w:p w14:paraId="72079A7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烘干</w:t>
                  </w:r>
                  <w:r>
                    <w:rPr>
                      <w:rFonts w:hint="eastAsia" w:cs="Times New Roman"/>
                      <w:color w:val="auto"/>
                      <w:sz w:val="21"/>
                      <w:szCs w:val="21"/>
                      <w:lang w:val="en-US" w:eastAsia="zh-CN"/>
                    </w:rPr>
                    <w:t>，电加热25kw</w:t>
                  </w:r>
                </w:p>
              </w:tc>
            </w:tr>
            <w:tr w14:paraId="3AF72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shd w:val="clear" w:color="auto" w:fill="auto"/>
                  <w:noWrap w:val="0"/>
                  <w:vAlign w:val="center"/>
                </w:tcPr>
                <w:p w14:paraId="04AD10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w:t>
                  </w:r>
                </w:p>
              </w:tc>
              <w:tc>
                <w:tcPr>
                  <w:tcW w:w="1226" w:type="pct"/>
                  <w:tcBorders>
                    <w:tl2br w:val="nil"/>
                    <w:tr2bl w:val="nil"/>
                  </w:tcBorders>
                  <w:shd w:val="clear" w:color="auto" w:fill="auto"/>
                  <w:noWrap w:val="0"/>
                  <w:vAlign w:val="center"/>
                </w:tcPr>
                <w:p w14:paraId="5E50C1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整平机</w:t>
                  </w:r>
                </w:p>
              </w:tc>
              <w:tc>
                <w:tcPr>
                  <w:tcW w:w="1358" w:type="pct"/>
                  <w:tcBorders>
                    <w:tl2br w:val="nil"/>
                    <w:tr2bl w:val="nil"/>
                  </w:tcBorders>
                  <w:shd w:val="clear" w:color="auto" w:fill="auto"/>
                  <w:noWrap w:val="0"/>
                  <w:vAlign w:val="center"/>
                </w:tcPr>
                <w:p w14:paraId="23071DB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定制</w:t>
                  </w:r>
                </w:p>
              </w:tc>
              <w:tc>
                <w:tcPr>
                  <w:tcW w:w="966" w:type="pct"/>
                  <w:tcBorders>
                    <w:tl2br w:val="nil"/>
                    <w:tr2bl w:val="nil"/>
                  </w:tcBorders>
                  <w:shd w:val="clear" w:color="auto" w:fill="auto"/>
                  <w:noWrap w:val="0"/>
                  <w:vAlign w:val="center"/>
                </w:tcPr>
                <w:p w14:paraId="53C5FF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w:t>
                  </w:r>
                </w:p>
              </w:tc>
              <w:tc>
                <w:tcPr>
                  <w:tcW w:w="725" w:type="pct"/>
                  <w:tcBorders>
                    <w:tl2br w:val="nil"/>
                    <w:tr2bl w:val="nil"/>
                  </w:tcBorders>
                  <w:shd w:val="clear" w:color="auto" w:fill="auto"/>
                  <w:noWrap w:val="0"/>
                  <w:vAlign w:val="center"/>
                </w:tcPr>
                <w:p w14:paraId="7218843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打磨</w:t>
                  </w:r>
                </w:p>
              </w:tc>
            </w:tr>
            <w:tr w14:paraId="28997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noWrap w:val="0"/>
                  <w:vAlign w:val="center"/>
                </w:tcPr>
                <w:p w14:paraId="601363C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w:t>
                  </w:r>
                </w:p>
              </w:tc>
              <w:tc>
                <w:tcPr>
                  <w:tcW w:w="1226" w:type="pct"/>
                  <w:tcBorders>
                    <w:tl2br w:val="nil"/>
                    <w:tr2bl w:val="nil"/>
                  </w:tcBorders>
                  <w:shd w:val="clear" w:color="auto" w:fill="auto"/>
                  <w:noWrap w:val="0"/>
                  <w:vAlign w:val="center"/>
                </w:tcPr>
                <w:p w14:paraId="109523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破碎机</w:t>
                  </w:r>
                </w:p>
              </w:tc>
              <w:tc>
                <w:tcPr>
                  <w:tcW w:w="1358" w:type="pct"/>
                  <w:tcBorders>
                    <w:tl2br w:val="nil"/>
                    <w:tr2bl w:val="nil"/>
                  </w:tcBorders>
                  <w:shd w:val="clear" w:color="auto" w:fill="auto"/>
                  <w:noWrap w:val="0"/>
                  <w:vAlign w:val="center"/>
                </w:tcPr>
                <w:p w14:paraId="72870C2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rPr>
                    <w:t>PS110T</w:t>
                  </w:r>
                </w:p>
              </w:tc>
              <w:tc>
                <w:tcPr>
                  <w:tcW w:w="966" w:type="pct"/>
                  <w:tcBorders>
                    <w:tl2br w:val="nil"/>
                    <w:tr2bl w:val="nil"/>
                  </w:tcBorders>
                  <w:shd w:val="clear" w:color="auto" w:fill="auto"/>
                  <w:noWrap w:val="0"/>
                  <w:vAlign w:val="center"/>
                </w:tcPr>
                <w:p w14:paraId="5D7F69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725" w:type="pct"/>
                  <w:tcBorders>
                    <w:tl2br w:val="nil"/>
                    <w:tr2bl w:val="nil"/>
                  </w:tcBorders>
                  <w:shd w:val="clear" w:color="auto" w:fill="auto"/>
                  <w:noWrap w:val="0"/>
                  <w:vAlign w:val="center"/>
                </w:tcPr>
                <w:p w14:paraId="7479771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破碎</w:t>
                  </w:r>
                </w:p>
              </w:tc>
            </w:tr>
            <w:tr w14:paraId="15186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3" w:type="pct"/>
                  <w:tcBorders>
                    <w:tl2br w:val="nil"/>
                    <w:tr2bl w:val="nil"/>
                  </w:tcBorders>
                  <w:noWrap w:val="0"/>
                  <w:vAlign w:val="center"/>
                </w:tcPr>
                <w:p w14:paraId="601D1F4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10</w:t>
                  </w:r>
                </w:p>
              </w:tc>
              <w:tc>
                <w:tcPr>
                  <w:tcW w:w="1226" w:type="pct"/>
                  <w:tcBorders>
                    <w:tl2br w:val="nil"/>
                    <w:tr2bl w:val="nil"/>
                  </w:tcBorders>
                  <w:shd w:val="clear" w:color="auto" w:fill="auto"/>
                  <w:noWrap w:val="0"/>
                  <w:vAlign w:val="center"/>
                </w:tcPr>
                <w:p w14:paraId="080B12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空压机</w:t>
                  </w:r>
                </w:p>
              </w:tc>
              <w:tc>
                <w:tcPr>
                  <w:tcW w:w="1358" w:type="pct"/>
                  <w:tcBorders>
                    <w:tl2br w:val="nil"/>
                    <w:tr2bl w:val="nil"/>
                  </w:tcBorders>
                  <w:shd w:val="clear" w:color="auto" w:fill="auto"/>
                  <w:noWrap w:val="0"/>
                  <w:vAlign w:val="center"/>
                </w:tcPr>
                <w:p w14:paraId="36EAFBD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eastAsia="宋体"/>
                      <w:color w:val="auto"/>
                      <w:lang w:val="en-US" w:eastAsia="zh-CN"/>
                    </w:rPr>
                  </w:pPr>
                  <w:r>
                    <w:rPr>
                      <w:rFonts w:hint="eastAsia"/>
                      <w:color w:val="auto"/>
                      <w:lang w:val="en-US" w:eastAsia="zh-CN"/>
                    </w:rPr>
                    <w:t>/</w:t>
                  </w:r>
                </w:p>
              </w:tc>
              <w:tc>
                <w:tcPr>
                  <w:tcW w:w="966" w:type="pct"/>
                  <w:tcBorders>
                    <w:tl2br w:val="nil"/>
                    <w:tr2bl w:val="nil"/>
                  </w:tcBorders>
                  <w:shd w:val="clear" w:color="auto" w:fill="auto"/>
                  <w:noWrap w:val="0"/>
                  <w:vAlign w:val="center"/>
                </w:tcPr>
                <w:p w14:paraId="04F763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725" w:type="pct"/>
                  <w:tcBorders>
                    <w:tl2br w:val="nil"/>
                    <w:tr2bl w:val="nil"/>
                  </w:tcBorders>
                  <w:shd w:val="clear" w:color="auto" w:fill="auto"/>
                  <w:noWrap w:val="0"/>
                  <w:vAlign w:val="center"/>
                </w:tcPr>
                <w:p w14:paraId="5EC659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公辅设备</w:t>
                  </w:r>
                </w:p>
              </w:tc>
            </w:tr>
          </w:tbl>
          <w:p w14:paraId="7A752DEC">
            <w:pPr>
              <w:ind w:firstLine="0" w:firstLineChars="0"/>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本项目产能与关键设备匹配性分析：</w:t>
            </w:r>
          </w:p>
          <w:p w14:paraId="685E37A6">
            <w:pPr>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w:t>
            </w:r>
            <w:r>
              <w:rPr>
                <w:rFonts w:hint="eastAsia"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本项目产能与关键设备匹配性分析一览表</w:t>
            </w:r>
          </w:p>
          <w:tbl>
            <w:tblPr>
              <w:tblStyle w:val="4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826"/>
              <w:gridCol w:w="877"/>
              <w:gridCol w:w="763"/>
              <w:gridCol w:w="1070"/>
              <w:gridCol w:w="831"/>
              <w:gridCol w:w="1100"/>
              <w:gridCol w:w="2960"/>
            </w:tblGrid>
            <w:tr w14:paraId="59F1D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noWrap w:val="0"/>
                  <w:vAlign w:val="center"/>
                </w:tcPr>
                <w:p w14:paraId="183A7B6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生产工序</w:t>
                  </w:r>
                </w:p>
              </w:tc>
              <w:tc>
                <w:tcPr>
                  <w:tcW w:w="446" w:type="pct"/>
                  <w:noWrap w:val="0"/>
                  <w:vAlign w:val="center"/>
                </w:tcPr>
                <w:p w14:paraId="7B828B6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474" w:type="pct"/>
                  <w:noWrap w:val="0"/>
                  <w:vAlign w:val="center"/>
                </w:tcPr>
                <w:p w14:paraId="19A22EB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规格参数</w:t>
                  </w:r>
                </w:p>
              </w:tc>
              <w:tc>
                <w:tcPr>
                  <w:tcW w:w="412" w:type="pct"/>
                  <w:noWrap w:val="0"/>
                  <w:vAlign w:val="center"/>
                </w:tcPr>
                <w:p w14:paraId="36EB5946">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设备数量</w:t>
                  </w:r>
                </w:p>
              </w:tc>
              <w:tc>
                <w:tcPr>
                  <w:tcW w:w="578" w:type="pct"/>
                  <w:noWrap w:val="0"/>
                  <w:vAlign w:val="center"/>
                </w:tcPr>
                <w:p w14:paraId="67EEE649">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单台生产能力</w:t>
                  </w:r>
                </w:p>
              </w:tc>
              <w:tc>
                <w:tcPr>
                  <w:tcW w:w="449" w:type="pct"/>
                  <w:noWrap w:val="0"/>
                  <w:vAlign w:val="center"/>
                </w:tcPr>
                <w:p w14:paraId="053E64E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年工作天数</w:t>
                  </w:r>
                </w:p>
              </w:tc>
              <w:tc>
                <w:tcPr>
                  <w:tcW w:w="594" w:type="pct"/>
                  <w:noWrap w:val="0"/>
                  <w:vAlign w:val="center"/>
                </w:tcPr>
                <w:p w14:paraId="5D26E11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生产能力</w:t>
                  </w:r>
                </w:p>
              </w:tc>
              <w:tc>
                <w:tcPr>
                  <w:tcW w:w="1600" w:type="pct"/>
                  <w:noWrap w:val="0"/>
                  <w:vAlign w:val="center"/>
                </w:tcPr>
                <w:p w14:paraId="7BEBCA2B">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申报产能及匹配性分析</w:t>
                  </w:r>
                </w:p>
              </w:tc>
            </w:tr>
            <w:tr w14:paraId="00ED9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noWrap w:val="0"/>
                  <w:vAlign w:val="center"/>
                </w:tcPr>
                <w:p w14:paraId="2B3B37BB">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加热挤出</w:t>
                  </w:r>
                </w:p>
              </w:tc>
              <w:tc>
                <w:tcPr>
                  <w:tcW w:w="446" w:type="pct"/>
                  <w:noWrap w:val="0"/>
                  <w:vAlign w:val="center"/>
                </w:tcPr>
                <w:p w14:paraId="766BD9A8">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474" w:type="pct"/>
                  <w:noWrap w:val="0"/>
                  <w:vAlign w:val="center"/>
                </w:tcPr>
                <w:p w14:paraId="59F76BF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90</w:t>
                  </w:r>
                  <w:r>
                    <w:rPr>
                      <w:rFonts w:hint="eastAsia" w:cs="Times New Roman"/>
                      <w:color w:val="auto"/>
                      <w:kern w:val="2"/>
                      <w:sz w:val="21"/>
                      <w:szCs w:val="21"/>
                      <w:lang w:val="en-US" w:eastAsia="zh-CN" w:bidi="ar-SA"/>
                    </w:rPr>
                    <w:t>型</w:t>
                  </w:r>
                </w:p>
              </w:tc>
              <w:tc>
                <w:tcPr>
                  <w:tcW w:w="412" w:type="pct"/>
                  <w:noWrap w:val="0"/>
                  <w:vAlign w:val="center"/>
                </w:tcPr>
                <w:p w14:paraId="3D4AFA53">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台</w:t>
                  </w:r>
                </w:p>
              </w:tc>
              <w:tc>
                <w:tcPr>
                  <w:tcW w:w="578" w:type="pct"/>
                  <w:noWrap w:val="0"/>
                  <w:vAlign w:val="center"/>
                </w:tcPr>
                <w:p w14:paraId="16403DB1">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35</w:t>
                  </w:r>
                  <w:r>
                    <w:rPr>
                      <w:rFonts w:hint="default" w:ascii="Times New Roman" w:hAnsi="Times New Roman" w:eastAsia="宋体" w:cs="Times New Roman"/>
                      <w:color w:val="auto"/>
                      <w:sz w:val="21"/>
                      <w:szCs w:val="21"/>
                    </w:rPr>
                    <w:t>t/</w:t>
                  </w:r>
                  <w:r>
                    <w:rPr>
                      <w:rFonts w:hint="default" w:ascii="Times New Roman" w:hAnsi="Times New Roman" w:eastAsia="宋体" w:cs="Times New Roman"/>
                      <w:color w:val="auto"/>
                      <w:sz w:val="21"/>
                      <w:szCs w:val="21"/>
                      <w:lang w:val="en-US" w:eastAsia="zh-CN"/>
                    </w:rPr>
                    <w:t>d</w:t>
                  </w:r>
                </w:p>
              </w:tc>
              <w:tc>
                <w:tcPr>
                  <w:tcW w:w="449" w:type="pct"/>
                  <w:noWrap w:val="0"/>
                  <w:vAlign w:val="center"/>
                </w:tcPr>
                <w:p w14:paraId="24A7895E">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d</w:t>
                  </w:r>
                </w:p>
              </w:tc>
              <w:tc>
                <w:tcPr>
                  <w:tcW w:w="594" w:type="pct"/>
                  <w:shd w:val="clear" w:color="auto" w:fill="auto"/>
                  <w:noWrap w:val="0"/>
                  <w:vAlign w:val="center"/>
                </w:tcPr>
                <w:p w14:paraId="4B1B9B9B">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游艇甲板</w:t>
                  </w:r>
                  <w:r>
                    <w:rPr>
                      <w:rFonts w:hint="eastAsia" w:cs="Times New Roman"/>
                      <w:color w:val="auto"/>
                      <w:sz w:val="21"/>
                      <w:szCs w:val="21"/>
                      <w:lang w:val="en-US" w:eastAsia="zh-CN"/>
                    </w:rPr>
                    <w:t>42</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t/a</w:t>
                  </w:r>
                </w:p>
              </w:tc>
              <w:tc>
                <w:tcPr>
                  <w:tcW w:w="1600" w:type="pct"/>
                  <w:shd w:val="clear" w:color="auto" w:fill="auto"/>
                  <w:noWrap w:val="0"/>
                  <w:vAlign w:val="center"/>
                </w:tcPr>
                <w:p w14:paraId="2F313DB3">
                  <w:pPr>
                    <w:spacing w:line="240" w:lineRule="auto"/>
                    <w:ind w:firstLine="0" w:firstLineChars="0"/>
                    <w:jc w:val="center"/>
                    <w:outlineLvl w:val="2"/>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本项目预计产能为游艇甲板</w:t>
                  </w:r>
                  <w:r>
                    <w:rPr>
                      <w:rFonts w:hint="eastAsia" w:cs="Times New Roman"/>
                      <w:color w:val="auto"/>
                      <w:sz w:val="21"/>
                      <w:szCs w:val="21"/>
                      <w:lang w:val="en-US" w:eastAsia="zh-CN"/>
                    </w:rPr>
                    <w:t>40</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占最大产能的</w:t>
                  </w:r>
                  <w:r>
                    <w:rPr>
                      <w:rFonts w:hint="eastAsia" w:cs="Times New Roman"/>
                      <w:color w:val="auto"/>
                      <w:sz w:val="21"/>
                      <w:szCs w:val="21"/>
                      <w:lang w:val="en-US" w:eastAsia="zh-CN"/>
                    </w:rPr>
                    <w:t>95</w:t>
                  </w:r>
                  <w:r>
                    <w:rPr>
                      <w:rFonts w:hint="default" w:ascii="Times New Roman" w:hAnsi="Times New Roman" w:eastAsia="宋体" w:cs="Times New Roman"/>
                      <w:color w:val="auto"/>
                      <w:sz w:val="21"/>
                      <w:szCs w:val="21"/>
                      <w:lang w:val="en-US" w:eastAsia="zh-CN"/>
                    </w:rPr>
                    <w:t>%，符合设备设计挤塑能力要求</w:t>
                  </w:r>
                </w:p>
              </w:tc>
            </w:tr>
            <w:tr w14:paraId="3D8D9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noWrap w:val="0"/>
                  <w:vAlign w:val="center"/>
                </w:tcPr>
                <w:p w14:paraId="73E672EF">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446" w:type="pct"/>
                  <w:noWrap w:val="0"/>
                  <w:vAlign w:val="center"/>
                </w:tcPr>
                <w:p w14:paraId="62AA522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474" w:type="pct"/>
                  <w:noWrap w:val="0"/>
                  <w:vAlign w:val="center"/>
                </w:tcPr>
                <w:p w14:paraId="4CB4CBA6">
                  <w:pPr>
                    <w:spacing w:line="240" w:lineRule="auto"/>
                    <w:ind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45</w:t>
                  </w:r>
                  <w:r>
                    <w:rPr>
                      <w:rFonts w:hint="eastAsia" w:cs="Times New Roman"/>
                      <w:color w:val="auto"/>
                      <w:sz w:val="21"/>
                      <w:szCs w:val="21"/>
                      <w:lang w:val="en-US" w:eastAsia="zh-CN"/>
                    </w:rPr>
                    <w:t>型</w:t>
                  </w:r>
                </w:p>
              </w:tc>
              <w:tc>
                <w:tcPr>
                  <w:tcW w:w="412" w:type="pct"/>
                  <w:noWrap w:val="0"/>
                  <w:vAlign w:val="center"/>
                </w:tcPr>
                <w:p w14:paraId="121B108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台</w:t>
                  </w:r>
                </w:p>
              </w:tc>
              <w:tc>
                <w:tcPr>
                  <w:tcW w:w="578" w:type="pct"/>
                  <w:noWrap w:val="0"/>
                  <w:vAlign w:val="center"/>
                </w:tcPr>
                <w:p w14:paraId="49C181C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55</w:t>
                  </w:r>
                  <w:r>
                    <w:rPr>
                      <w:rFonts w:hint="default" w:ascii="Times New Roman" w:hAnsi="Times New Roman" w:eastAsia="宋体" w:cs="Times New Roman"/>
                      <w:color w:val="auto"/>
                      <w:sz w:val="21"/>
                      <w:szCs w:val="21"/>
                      <w:lang w:val="en-US" w:eastAsia="zh-CN"/>
                    </w:rPr>
                    <w:t>t/d</w:t>
                  </w:r>
                </w:p>
              </w:tc>
              <w:tc>
                <w:tcPr>
                  <w:tcW w:w="449" w:type="pct"/>
                  <w:noWrap w:val="0"/>
                  <w:vAlign w:val="center"/>
                </w:tcPr>
                <w:p w14:paraId="4D05B59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d</w:t>
                  </w:r>
                </w:p>
              </w:tc>
              <w:tc>
                <w:tcPr>
                  <w:tcW w:w="594" w:type="pct"/>
                  <w:shd w:val="clear" w:color="auto" w:fill="auto"/>
                  <w:noWrap w:val="0"/>
                  <w:vAlign w:val="center"/>
                </w:tcPr>
                <w:p w14:paraId="354FCAA6">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游艇护舷3</w:t>
                  </w:r>
                  <w:r>
                    <w:rPr>
                      <w:rFonts w:hint="eastAsia"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t/a</w:t>
                  </w:r>
                </w:p>
              </w:tc>
              <w:tc>
                <w:tcPr>
                  <w:tcW w:w="1600" w:type="pct"/>
                  <w:shd w:val="clear" w:color="auto" w:fill="auto"/>
                  <w:noWrap w:val="0"/>
                  <w:vAlign w:val="center"/>
                </w:tcPr>
                <w:p w14:paraId="12C14895">
                  <w:pPr>
                    <w:spacing w:line="240" w:lineRule="auto"/>
                    <w:ind w:firstLine="0" w:firstLineChars="0"/>
                    <w:jc w:val="center"/>
                    <w:outlineLvl w:val="2"/>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本项目预计产能为游艇护舷300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占最大产能的</w:t>
                  </w:r>
                  <w:r>
                    <w:rPr>
                      <w:rFonts w:hint="eastAsia" w:cs="Times New Roman"/>
                      <w:color w:val="auto"/>
                      <w:sz w:val="21"/>
                      <w:szCs w:val="21"/>
                      <w:lang w:val="en-US" w:eastAsia="zh-CN"/>
                    </w:rPr>
                    <w:t>91</w:t>
                  </w:r>
                  <w:r>
                    <w:rPr>
                      <w:rFonts w:hint="default" w:ascii="Times New Roman" w:hAnsi="Times New Roman" w:eastAsia="宋体" w:cs="Times New Roman"/>
                      <w:color w:val="auto"/>
                      <w:sz w:val="21"/>
                      <w:szCs w:val="21"/>
                      <w:lang w:val="en-US" w:eastAsia="zh-CN"/>
                    </w:rPr>
                    <w:t>%，符合设备设计挤塑能力要求</w:t>
                  </w:r>
                </w:p>
              </w:tc>
            </w:tr>
            <w:tr w14:paraId="68F74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noWrap w:val="0"/>
                  <w:vAlign w:val="center"/>
                </w:tcPr>
                <w:p w14:paraId="6335B8AA">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446" w:type="pct"/>
                  <w:noWrap w:val="0"/>
                  <w:vAlign w:val="center"/>
                </w:tcPr>
                <w:p w14:paraId="41E82C2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0"/>
                      <w:szCs w:val="20"/>
                      <w:u w:val="none"/>
                      <w:lang w:val="en-US" w:eastAsia="zh-CN" w:bidi="ar"/>
                    </w:rPr>
                    <w:t>塑胶挤出机</w:t>
                  </w:r>
                </w:p>
              </w:tc>
              <w:tc>
                <w:tcPr>
                  <w:tcW w:w="474" w:type="pct"/>
                  <w:noWrap w:val="0"/>
                  <w:vAlign w:val="center"/>
                </w:tcPr>
                <w:p w14:paraId="5A429933">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125</w:t>
                  </w:r>
                  <w:r>
                    <w:rPr>
                      <w:rFonts w:hint="eastAsia"/>
                      <w:color w:val="auto"/>
                      <w:lang w:val="en-US" w:eastAsia="zh-CN"/>
                    </w:rPr>
                    <w:t>型</w:t>
                  </w:r>
                </w:p>
              </w:tc>
              <w:tc>
                <w:tcPr>
                  <w:tcW w:w="412" w:type="pct"/>
                  <w:noWrap w:val="0"/>
                  <w:vAlign w:val="center"/>
                </w:tcPr>
                <w:p w14:paraId="3B8580E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台</w:t>
                  </w:r>
                </w:p>
              </w:tc>
              <w:tc>
                <w:tcPr>
                  <w:tcW w:w="578" w:type="pct"/>
                  <w:noWrap w:val="0"/>
                  <w:vAlign w:val="center"/>
                </w:tcPr>
                <w:p w14:paraId="334AE3BE">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55</w:t>
                  </w:r>
                  <w:r>
                    <w:rPr>
                      <w:rFonts w:hint="default" w:ascii="Times New Roman" w:hAnsi="Times New Roman" w:eastAsia="宋体" w:cs="Times New Roman"/>
                      <w:color w:val="auto"/>
                      <w:sz w:val="21"/>
                      <w:szCs w:val="21"/>
                    </w:rPr>
                    <w:t>t/</w:t>
                  </w:r>
                  <w:r>
                    <w:rPr>
                      <w:rFonts w:hint="default" w:ascii="Times New Roman" w:hAnsi="Times New Roman" w:eastAsia="宋体" w:cs="Times New Roman"/>
                      <w:color w:val="auto"/>
                      <w:sz w:val="21"/>
                      <w:szCs w:val="21"/>
                      <w:lang w:val="en-US" w:eastAsia="zh-CN"/>
                    </w:rPr>
                    <w:t>d</w:t>
                  </w:r>
                </w:p>
              </w:tc>
              <w:tc>
                <w:tcPr>
                  <w:tcW w:w="449" w:type="pct"/>
                  <w:noWrap w:val="0"/>
                  <w:vAlign w:val="center"/>
                </w:tcPr>
                <w:p w14:paraId="4ED69B82">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d</w:t>
                  </w:r>
                </w:p>
              </w:tc>
              <w:tc>
                <w:tcPr>
                  <w:tcW w:w="594" w:type="pct"/>
                  <w:noWrap w:val="0"/>
                  <w:vAlign w:val="center"/>
                </w:tcPr>
                <w:p w14:paraId="60B9495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码头护舷3</w:t>
                  </w:r>
                  <w:r>
                    <w:rPr>
                      <w:rFonts w:hint="eastAsia"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t/a</w:t>
                  </w:r>
                </w:p>
              </w:tc>
              <w:tc>
                <w:tcPr>
                  <w:tcW w:w="1600" w:type="pct"/>
                  <w:noWrap w:val="0"/>
                  <w:vAlign w:val="center"/>
                </w:tcPr>
                <w:p w14:paraId="6F1EF8C5">
                  <w:pPr>
                    <w:spacing w:line="240" w:lineRule="auto"/>
                    <w:ind w:firstLine="0" w:firstLineChars="0"/>
                    <w:jc w:val="center"/>
                    <w:outlineLvl w:val="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本项目预计产能为码头护舷300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占最大产能的</w:t>
                  </w:r>
                  <w:r>
                    <w:rPr>
                      <w:rFonts w:hint="eastAsia" w:cs="Times New Roman"/>
                      <w:color w:val="auto"/>
                      <w:sz w:val="21"/>
                      <w:szCs w:val="21"/>
                      <w:lang w:val="en-US" w:eastAsia="zh-CN"/>
                    </w:rPr>
                    <w:t>91</w:t>
                  </w:r>
                  <w:r>
                    <w:rPr>
                      <w:rFonts w:hint="default" w:ascii="Times New Roman" w:hAnsi="Times New Roman" w:eastAsia="宋体" w:cs="Times New Roman"/>
                      <w:color w:val="auto"/>
                      <w:sz w:val="21"/>
                      <w:szCs w:val="21"/>
                      <w:lang w:val="en-US" w:eastAsia="zh-CN"/>
                    </w:rPr>
                    <w:t>%，符合设备设计挤塑能力要求</w:t>
                  </w:r>
                </w:p>
              </w:tc>
            </w:tr>
          </w:tbl>
          <w:p w14:paraId="27F24EBF">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、公辅工程</w:t>
            </w:r>
          </w:p>
          <w:p w14:paraId="33EAC6AD">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eastAsia="zh-CN"/>
              </w:rPr>
              <w:t>公用</w:t>
            </w:r>
            <w:r>
              <w:rPr>
                <w:rFonts w:hint="default" w:ascii="Times New Roman" w:hAnsi="Times New Roman" w:eastAsia="宋体" w:cs="Times New Roman"/>
                <w:color w:val="auto"/>
                <w:sz w:val="24"/>
                <w:szCs w:val="24"/>
              </w:rPr>
              <w:t>及辅助工程见表2-</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w:t>
            </w:r>
          </w:p>
          <w:p w14:paraId="72C90E5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项目公辅工程一览表</w:t>
            </w:r>
          </w:p>
          <w:tbl>
            <w:tblPr>
              <w:tblStyle w:val="45"/>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9"/>
              <w:gridCol w:w="675"/>
              <w:gridCol w:w="925"/>
              <w:gridCol w:w="1073"/>
              <w:gridCol w:w="3357"/>
              <w:gridCol w:w="2352"/>
            </w:tblGrid>
            <w:tr w14:paraId="40DC3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noWrap w:val="0"/>
                  <w:vAlign w:val="center"/>
                </w:tcPr>
                <w:p w14:paraId="47F6729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类别</w:t>
                  </w:r>
                </w:p>
              </w:tc>
              <w:tc>
                <w:tcPr>
                  <w:tcW w:w="1446" w:type="pct"/>
                  <w:gridSpan w:val="3"/>
                  <w:tcBorders>
                    <w:tl2br w:val="nil"/>
                    <w:tr2bl w:val="nil"/>
                  </w:tcBorders>
                  <w:noWrap w:val="0"/>
                  <w:vAlign w:val="center"/>
                </w:tcPr>
                <w:p w14:paraId="36CA0B3E">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建设名称</w:t>
                  </w:r>
                </w:p>
              </w:tc>
              <w:tc>
                <w:tcPr>
                  <w:tcW w:w="1816" w:type="pct"/>
                  <w:tcBorders>
                    <w:tl2br w:val="nil"/>
                    <w:tr2bl w:val="nil"/>
                  </w:tcBorders>
                  <w:noWrap w:val="0"/>
                  <w:vAlign w:val="center"/>
                </w:tcPr>
                <w:p w14:paraId="0B0293E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rPr>
                    <w:t>设计能力</w:t>
                  </w:r>
                </w:p>
              </w:tc>
              <w:tc>
                <w:tcPr>
                  <w:tcW w:w="1272" w:type="pct"/>
                  <w:tcBorders>
                    <w:tl2br w:val="nil"/>
                    <w:tr2bl w:val="nil"/>
                  </w:tcBorders>
                  <w:noWrap w:val="0"/>
                  <w:vAlign w:val="center"/>
                </w:tcPr>
                <w:p w14:paraId="316D38A9">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备注</w:t>
                  </w:r>
                </w:p>
              </w:tc>
            </w:tr>
            <w:tr w14:paraId="0E2E0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noWrap w:val="0"/>
                  <w:vAlign w:val="center"/>
                </w:tcPr>
                <w:p w14:paraId="0350E12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主体工程</w:t>
                  </w:r>
                </w:p>
              </w:tc>
              <w:tc>
                <w:tcPr>
                  <w:tcW w:w="1446" w:type="pct"/>
                  <w:gridSpan w:val="3"/>
                  <w:tcBorders>
                    <w:tl2br w:val="nil"/>
                    <w:tr2bl w:val="nil"/>
                  </w:tcBorders>
                  <w:noWrap w:val="0"/>
                  <w:vAlign w:val="center"/>
                </w:tcPr>
                <w:p w14:paraId="615A6B3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生产车间</w:t>
                  </w:r>
                </w:p>
              </w:tc>
              <w:tc>
                <w:tcPr>
                  <w:tcW w:w="1816" w:type="pct"/>
                  <w:tcBorders>
                    <w:tl2br w:val="nil"/>
                    <w:tr2bl w:val="nil"/>
                  </w:tcBorders>
                  <w:noWrap w:val="0"/>
                  <w:vAlign w:val="center"/>
                </w:tcPr>
                <w:p w14:paraId="7D0D873E">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车间为单层结构，</w:t>
                  </w:r>
                  <w:r>
                    <w:rPr>
                      <w:rFonts w:hint="default" w:ascii="Times New Roman" w:hAnsi="Times New Roman" w:eastAsia="宋体" w:cs="Times New Roman"/>
                      <w:color w:val="auto"/>
                      <w:szCs w:val="21"/>
                      <w:lang w:val="en-US" w:eastAsia="zh-CN"/>
                    </w:rPr>
                    <w:t>面积约1200</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vertAlign w:val="baseline"/>
                      <w:lang w:eastAsia="zh-CN"/>
                    </w:rPr>
                    <w:t>，</w:t>
                  </w:r>
                  <w:r>
                    <w:rPr>
                      <w:rFonts w:hint="default" w:ascii="Times New Roman" w:hAnsi="Times New Roman" w:eastAsia="宋体" w:cs="Times New Roman"/>
                      <w:color w:val="auto"/>
                      <w:szCs w:val="21"/>
                      <w:lang w:val="en-US" w:eastAsia="zh-CN"/>
                    </w:rPr>
                    <w:t>主要</w:t>
                  </w:r>
                  <w:r>
                    <w:rPr>
                      <w:rFonts w:hint="eastAsia" w:cs="Times New Roman"/>
                      <w:color w:val="auto"/>
                      <w:szCs w:val="21"/>
                      <w:lang w:val="en-US" w:eastAsia="zh-CN"/>
                    </w:rPr>
                    <w:t>包括</w:t>
                  </w:r>
                  <w:r>
                    <w:rPr>
                      <w:rFonts w:hint="default" w:ascii="Times New Roman" w:hAnsi="Times New Roman" w:eastAsia="宋体" w:cs="Times New Roman"/>
                      <w:color w:val="auto"/>
                      <w:szCs w:val="21"/>
                      <w:lang w:val="en-US" w:eastAsia="zh-CN"/>
                    </w:rPr>
                    <w:t>投料区、混料区、挤出冷却区、</w:t>
                  </w:r>
                  <w:r>
                    <w:rPr>
                      <w:rFonts w:hint="eastAsia" w:cs="Times New Roman"/>
                      <w:color w:val="auto"/>
                      <w:szCs w:val="21"/>
                      <w:lang w:val="en-US" w:eastAsia="zh-CN"/>
                    </w:rPr>
                    <w:t>烘干区、</w:t>
                  </w:r>
                  <w:r>
                    <w:rPr>
                      <w:rFonts w:hint="default" w:ascii="Times New Roman" w:hAnsi="Times New Roman" w:eastAsia="宋体" w:cs="Times New Roman"/>
                      <w:color w:val="auto"/>
                      <w:szCs w:val="21"/>
                      <w:lang w:val="en-US" w:eastAsia="zh-CN"/>
                    </w:rPr>
                    <w:t>整平区、</w:t>
                  </w:r>
                  <w:r>
                    <w:rPr>
                      <w:rFonts w:hint="eastAsia" w:cs="Times New Roman"/>
                      <w:color w:val="auto"/>
                      <w:szCs w:val="21"/>
                      <w:lang w:val="en-US" w:eastAsia="zh-CN"/>
                    </w:rPr>
                    <w:t>破碎区、</w:t>
                  </w:r>
                  <w:r>
                    <w:rPr>
                      <w:rFonts w:hint="default" w:ascii="Times New Roman" w:hAnsi="Times New Roman" w:eastAsia="宋体" w:cs="Times New Roman"/>
                      <w:color w:val="auto"/>
                      <w:szCs w:val="21"/>
                      <w:lang w:val="en-US" w:eastAsia="zh-CN"/>
                    </w:rPr>
                    <w:t>原辅料堆场、成品堆场、一般固废仓库、危废仓库，隔层为办公区</w:t>
                  </w:r>
                </w:p>
              </w:tc>
              <w:tc>
                <w:tcPr>
                  <w:tcW w:w="1272" w:type="pct"/>
                  <w:vMerge w:val="restart"/>
                  <w:tcBorders>
                    <w:tl2br w:val="nil"/>
                    <w:tr2bl w:val="nil"/>
                  </w:tcBorders>
                  <w:noWrap w:val="0"/>
                  <w:vAlign w:val="center"/>
                </w:tcPr>
                <w:p w14:paraId="3B36E32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依托现有空置厂房</w:t>
                  </w:r>
                </w:p>
              </w:tc>
            </w:tr>
            <w:tr w14:paraId="581D1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restart"/>
                  <w:tcBorders>
                    <w:tl2br w:val="nil"/>
                    <w:tr2bl w:val="nil"/>
                  </w:tcBorders>
                  <w:noWrap w:val="0"/>
                  <w:vAlign w:val="center"/>
                </w:tcPr>
                <w:p w14:paraId="614E239E">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贮运工程</w:t>
                  </w:r>
                </w:p>
              </w:tc>
              <w:tc>
                <w:tcPr>
                  <w:tcW w:w="1446" w:type="pct"/>
                  <w:gridSpan w:val="3"/>
                  <w:tcBorders>
                    <w:tl2br w:val="nil"/>
                    <w:tr2bl w:val="nil"/>
                  </w:tcBorders>
                  <w:noWrap w:val="0"/>
                  <w:vAlign w:val="center"/>
                </w:tcPr>
                <w:p w14:paraId="4D2CD269">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成品</w:t>
                  </w:r>
                  <w:r>
                    <w:rPr>
                      <w:rFonts w:hint="default" w:ascii="Times New Roman" w:hAnsi="Times New Roman" w:eastAsia="宋体" w:cs="Times New Roman"/>
                      <w:color w:val="auto"/>
                      <w:szCs w:val="21"/>
                      <w:lang w:val="en-US" w:eastAsia="zh-CN"/>
                    </w:rPr>
                    <w:t>堆场</w:t>
                  </w:r>
                </w:p>
              </w:tc>
              <w:tc>
                <w:tcPr>
                  <w:tcW w:w="1816" w:type="pct"/>
                  <w:tcBorders>
                    <w:tl2br w:val="nil"/>
                    <w:tr2bl w:val="nil"/>
                  </w:tcBorders>
                  <w:noWrap w:val="0"/>
                  <w:vAlign w:val="center"/>
                </w:tcPr>
                <w:p w14:paraId="7518F66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面积约100</w:t>
                  </w:r>
                  <w:r>
                    <w:rPr>
                      <w:rFonts w:hint="default" w:ascii="Times New Roman" w:hAnsi="Times New Roman" w:eastAsia="宋体" w:cs="Times New Roman"/>
                      <w:color w:val="auto"/>
                      <w:szCs w:val="21"/>
                    </w:rPr>
                    <w:t xml:space="preserve"> 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lang w:val="en-US" w:eastAsia="zh-CN"/>
                    </w:rPr>
                    <w:t>，位于车间东南侧</w:t>
                  </w:r>
                </w:p>
              </w:tc>
              <w:tc>
                <w:tcPr>
                  <w:tcW w:w="1272" w:type="pct"/>
                  <w:vMerge w:val="continue"/>
                  <w:tcBorders>
                    <w:tl2br w:val="nil"/>
                    <w:tr2bl w:val="nil"/>
                  </w:tcBorders>
                  <w:noWrap w:val="0"/>
                  <w:vAlign w:val="center"/>
                </w:tcPr>
                <w:p w14:paraId="7D88138F">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r>
            <w:tr w14:paraId="78A2E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3DCD387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1446" w:type="pct"/>
                  <w:gridSpan w:val="3"/>
                  <w:tcBorders>
                    <w:tl2br w:val="nil"/>
                    <w:tr2bl w:val="nil"/>
                  </w:tcBorders>
                  <w:noWrap w:val="0"/>
                  <w:vAlign w:val="center"/>
                </w:tcPr>
                <w:p w14:paraId="49ABA59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原辅料堆场</w:t>
                  </w:r>
                </w:p>
              </w:tc>
              <w:tc>
                <w:tcPr>
                  <w:tcW w:w="1816" w:type="pct"/>
                  <w:tcBorders>
                    <w:tl2br w:val="nil"/>
                    <w:tr2bl w:val="nil"/>
                  </w:tcBorders>
                  <w:noWrap w:val="0"/>
                  <w:vAlign w:val="center"/>
                </w:tcPr>
                <w:p w14:paraId="6E30C3C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lang w:val="en-US" w:eastAsia="zh-CN"/>
                    </w:rPr>
                    <w:t>面积约20</w:t>
                  </w:r>
                  <w:r>
                    <w:rPr>
                      <w:rFonts w:hint="default" w:ascii="Times New Roman" w:hAnsi="Times New Roman" w:eastAsia="宋体" w:cs="Times New Roman"/>
                      <w:color w:val="auto"/>
                      <w:szCs w:val="21"/>
                    </w:rPr>
                    <w:t xml:space="preserve"> 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lang w:val="en-US" w:eastAsia="zh-CN"/>
                    </w:rPr>
                    <w:t>，位于车间南侧</w:t>
                  </w:r>
                </w:p>
              </w:tc>
              <w:tc>
                <w:tcPr>
                  <w:tcW w:w="1272" w:type="pct"/>
                  <w:vMerge w:val="continue"/>
                  <w:tcBorders>
                    <w:tl2br w:val="nil"/>
                    <w:tr2bl w:val="nil"/>
                  </w:tcBorders>
                  <w:noWrap w:val="0"/>
                  <w:vAlign w:val="center"/>
                </w:tcPr>
                <w:p w14:paraId="5A868B2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r>
            <w:tr w14:paraId="3E01A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restart"/>
                  <w:tcBorders>
                    <w:tl2br w:val="nil"/>
                    <w:tr2bl w:val="nil"/>
                  </w:tcBorders>
                  <w:noWrap w:val="0"/>
                  <w:vAlign w:val="center"/>
                </w:tcPr>
                <w:p w14:paraId="40B83FB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公辅工程</w:t>
                  </w:r>
                </w:p>
              </w:tc>
              <w:tc>
                <w:tcPr>
                  <w:tcW w:w="1446" w:type="pct"/>
                  <w:gridSpan w:val="3"/>
                  <w:tcBorders>
                    <w:tl2br w:val="nil"/>
                    <w:tr2bl w:val="nil"/>
                  </w:tcBorders>
                  <w:noWrap w:val="0"/>
                  <w:vAlign w:val="center"/>
                </w:tcPr>
                <w:p w14:paraId="11EC0C3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给水系统</w:t>
                  </w:r>
                </w:p>
              </w:tc>
              <w:tc>
                <w:tcPr>
                  <w:tcW w:w="1816" w:type="pct"/>
                  <w:tcBorders>
                    <w:tl2br w:val="nil"/>
                    <w:tr2bl w:val="nil"/>
                  </w:tcBorders>
                  <w:noWrap w:val="0"/>
                  <w:vAlign w:val="center"/>
                </w:tcPr>
                <w:p w14:paraId="20A632CF">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252</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/a</w:t>
                  </w:r>
                </w:p>
              </w:tc>
              <w:tc>
                <w:tcPr>
                  <w:tcW w:w="1272" w:type="pct"/>
                  <w:tcBorders>
                    <w:tl2br w:val="nil"/>
                    <w:tr2bl w:val="nil"/>
                  </w:tcBorders>
                  <w:noWrap w:val="0"/>
                  <w:vAlign w:val="center"/>
                </w:tcPr>
                <w:p w14:paraId="2673B7B0">
                  <w:pPr>
                    <w:pStyle w:val="259"/>
                    <w:keepNext w:val="0"/>
                    <w:keepLines w:val="0"/>
                    <w:pageBreakBefore w:val="0"/>
                    <w:widowControl/>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由城市给水管网供给</w:t>
                  </w:r>
                </w:p>
              </w:tc>
            </w:tr>
            <w:tr w14:paraId="38C7C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464" w:type="pct"/>
                  <w:vMerge w:val="continue"/>
                  <w:tcBorders>
                    <w:tl2br w:val="nil"/>
                    <w:tr2bl w:val="nil"/>
                  </w:tcBorders>
                  <w:noWrap w:val="0"/>
                  <w:vAlign w:val="center"/>
                </w:tcPr>
                <w:p w14:paraId="64A490D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865" w:type="pct"/>
                  <w:gridSpan w:val="2"/>
                  <w:tcBorders>
                    <w:tl2br w:val="nil"/>
                    <w:tr2bl w:val="nil"/>
                  </w:tcBorders>
                  <w:noWrap w:val="0"/>
                  <w:vAlign w:val="center"/>
                </w:tcPr>
                <w:p w14:paraId="3EC1FC5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排水系统</w:t>
                  </w:r>
                </w:p>
              </w:tc>
              <w:tc>
                <w:tcPr>
                  <w:tcW w:w="580" w:type="pct"/>
                  <w:tcBorders>
                    <w:tl2br w:val="nil"/>
                    <w:tr2bl w:val="nil"/>
                  </w:tcBorders>
                  <w:noWrap w:val="0"/>
                  <w:vAlign w:val="center"/>
                </w:tcPr>
                <w:p w14:paraId="3872727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生活污水</w:t>
                  </w:r>
                </w:p>
              </w:tc>
              <w:tc>
                <w:tcPr>
                  <w:tcW w:w="1816" w:type="pct"/>
                  <w:tcBorders>
                    <w:tl2br w:val="nil"/>
                    <w:tr2bl w:val="nil"/>
                  </w:tcBorders>
                  <w:noWrap w:val="0"/>
                  <w:vAlign w:val="center"/>
                </w:tcPr>
                <w:p w14:paraId="0AAC222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eastAsia" w:cs="Times New Roman"/>
                      <w:color w:val="auto"/>
                      <w:szCs w:val="21"/>
                      <w:lang w:val="en-US" w:eastAsia="zh-CN"/>
                    </w:rPr>
                    <w:t>216</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/a</w:t>
                  </w:r>
                </w:p>
              </w:tc>
              <w:tc>
                <w:tcPr>
                  <w:tcW w:w="1272" w:type="pct"/>
                  <w:tcBorders>
                    <w:tl2br w:val="nil"/>
                    <w:tr2bl w:val="nil"/>
                  </w:tcBorders>
                  <w:noWrap w:val="0"/>
                  <w:vAlign w:val="center"/>
                </w:tcPr>
                <w:p w14:paraId="154810E8">
                  <w:pPr>
                    <w:pStyle w:val="259"/>
                    <w:keepNext w:val="0"/>
                    <w:keepLines w:val="0"/>
                    <w:pageBreakBefore w:val="0"/>
                    <w:widowControl/>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接管至常州金坛儒林污水处理厂</w:t>
                  </w:r>
                  <w:r>
                    <w:rPr>
                      <w:rFonts w:hint="default" w:ascii="Times New Roman" w:hAnsi="Times New Roman" w:eastAsia="宋体" w:cs="Times New Roman"/>
                      <w:color w:val="auto"/>
                      <w:szCs w:val="21"/>
                    </w:rPr>
                    <w:t>集中处理，尾水排入</w:t>
                  </w:r>
                  <w:r>
                    <w:rPr>
                      <w:rFonts w:hint="default" w:ascii="Times New Roman" w:hAnsi="Times New Roman" w:eastAsia="宋体" w:cs="Times New Roman"/>
                      <w:color w:val="auto"/>
                      <w:szCs w:val="21"/>
                      <w:lang w:val="en-US" w:eastAsia="zh-CN"/>
                    </w:rPr>
                    <w:t>儒林</w:t>
                  </w:r>
                  <w:r>
                    <w:rPr>
                      <w:rFonts w:hint="eastAsia" w:cs="Times New Roman"/>
                      <w:color w:val="auto"/>
                      <w:szCs w:val="21"/>
                      <w:lang w:val="en-US" w:eastAsia="zh-CN"/>
                    </w:rPr>
                    <w:t>河</w:t>
                  </w:r>
                </w:p>
              </w:tc>
            </w:tr>
            <w:tr w14:paraId="19EB0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034CEAB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1446" w:type="pct"/>
                  <w:gridSpan w:val="3"/>
                  <w:tcBorders>
                    <w:tl2br w:val="nil"/>
                    <w:tr2bl w:val="nil"/>
                  </w:tcBorders>
                  <w:noWrap w:val="0"/>
                  <w:vAlign w:val="center"/>
                </w:tcPr>
                <w:p w14:paraId="10364360">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雨水排放系统</w:t>
                  </w:r>
                </w:p>
              </w:tc>
              <w:tc>
                <w:tcPr>
                  <w:tcW w:w="1816" w:type="pct"/>
                  <w:tcBorders>
                    <w:tl2br w:val="nil"/>
                    <w:tr2bl w:val="nil"/>
                  </w:tcBorders>
                  <w:noWrap w:val="0"/>
                  <w:vAlign w:val="center"/>
                </w:tcPr>
                <w:p w14:paraId="2DEC6E9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272" w:type="pct"/>
                  <w:tcBorders>
                    <w:tl2br w:val="nil"/>
                    <w:tr2bl w:val="nil"/>
                  </w:tcBorders>
                  <w:noWrap w:val="0"/>
                  <w:vAlign w:val="center"/>
                </w:tcPr>
                <w:p w14:paraId="41BF3C0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通过</w:t>
                  </w:r>
                  <w:r>
                    <w:rPr>
                      <w:rFonts w:hint="default" w:ascii="Times New Roman" w:hAnsi="Times New Roman" w:eastAsia="宋体" w:cs="Times New Roman"/>
                      <w:color w:val="auto"/>
                      <w:lang w:val="en-US" w:eastAsia="zh-CN"/>
                    </w:rPr>
                    <w:t>园区</w:t>
                  </w:r>
                  <w:r>
                    <w:rPr>
                      <w:rFonts w:hint="default" w:ascii="Times New Roman" w:hAnsi="Times New Roman" w:eastAsia="宋体" w:cs="Times New Roman"/>
                      <w:color w:val="auto"/>
                      <w:szCs w:val="21"/>
                    </w:rPr>
                    <w:t>现有雨水管网排入市政雨水管网</w:t>
                  </w:r>
                </w:p>
              </w:tc>
            </w:tr>
            <w:tr w14:paraId="4EDFA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7AF47F99">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1446" w:type="pct"/>
                  <w:gridSpan w:val="3"/>
                  <w:tcBorders>
                    <w:tl2br w:val="nil"/>
                    <w:tr2bl w:val="nil"/>
                  </w:tcBorders>
                  <w:noWrap w:val="0"/>
                  <w:vAlign w:val="center"/>
                </w:tcPr>
                <w:p w14:paraId="029BF6D0">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供电工程</w:t>
                  </w:r>
                </w:p>
              </w:tc>
              <w:tc>
                <w:tcPr>
                  <w:tcW w:w="1816" w:type="pct"/>
                  <w:tcBorders>
                    <w:tl2br w:val="nil"/>
                    <w:tr2bl w:val="nil"/>
                  </w:tcBorders>
                  <w:noWrap w:val="0"/>
                  <w:vAlign w:val="center"/>
                </w:tcPr>
                <w:p w14:paraId="2746CA6F">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50</w:t>
                  </w:r>
                  <w:r>
                    <w:rPr>
                      <w:rFonts w:hint="default" w:ascii="Times New Roman" w:hAnsi="Times New Roman" w:eastAsia="宋体" w:cs="Times New Roman"/>
                      <w:color w:val="auto"/>
                      <w:szCs w:val="21"/>
                    </w:rPr>
                    <w:t>万kWh/a</w:t>
                  </w:r>
                </w:p>
              </w:tc>
              <w:tc>
                <w:tcPr>
                  <w:tcW w:w="1272" w:type="pct"/>
                  <w:tcBorders>
                    <w:tl2br w:val="nil"/>
                    <w:tr2bl w:val="nil"/>
                  </w:tcBorders>
                  <w:noWrap w:val="0"/>
                  <w:vAlign w:val="center"/>
                </w:tcPr>
                <w:p w14:paraId="5AC93FC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rPr>
                    <w:t>由市政电力管网供电</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依托园区现有</w:t>
                  </w:r>
                </w:p>
              </w:tc>
            </w:tr>
            <w:tr w14:paraId="24F1D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464" w:type="pct"/>
                  <w:vMerge w:val="continue"/>
                  <w:tcBorders>
                    <w:tl2br w:val="nil"/>
                    <w:tr2bl w:val="nil"/>
                  </w:tcBorders>
                  <w:noWrap w:val="0"/>
                  <w:vAlign w:val="center"/>
                </w:tcPr>
                <w:p w14:paraId="4FE6061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365" w:type="pct"/>
                  <w:vMerge w:val="restart"/>
                  <w:tcBorders>
                    <w:tl2br w:val="nil"/>
                    <w:tr2bl w:val="nil"/>
                  </w:tcBorders>
                  <w:noWrap w:val="0"/>
                  <w:vAlign w:val="center"/>
                </w:tcPr>
                <w:p w14:paraId="3C85B2C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废气</w:t>
                  </w:r>
                </w:p>
              </w:tc>
              <w:tc>
                <w:tcPr>
                  <w:tcW w:w="500" w:type="pct"/>
                  <w:vMerge w:val="restart"/>
                  <w:tcBorders>
                    <w:tl2br w:val="nil"/>
                    <w:tr2bl w:val="nil"/>
                  </w:tcBorders>
                  <w:noWrap w:val="0"/>
                  <w:vAlign w:val="center"/>
                </w:tcPr>
                <w:p w14:paraId="4B67371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有组织</w:t>
                  </w:r>
                </w:p>
              </w:tc>
              <w:tc>
                <w:tcPr>
                  <w:tcW w:w="580" w:type="pct"/>
                  <w:tcBorders>
                    <w:tl2br w:val="nil"/>
                    <w:tr2bl w:val="nil"/>
                  </w:tcBorders>
                  <w:noWrap w:val="0"/>
                  <w:vAlign w:val="center"/>
                </w:tcPr>
                <w:p w14:paraId="5925D06D">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投料粉尘</w:t>
                  </w:r>
                </w:p>
              </w:tc>
              <w:tc>
                <w:tcPr>
                  <w:tcW w:w="1816" w:type="pct"/>
                  <w:vMerge w:val="restart"/>
                  <w:tcBorders>
                    <w:tl2br w:val="nil"/>
                    <w:tr2bl w:val="nil"/>
                  </w:tcBorders>
                  <w:noWrap w:val="0"/>
                  <w:vAlign w:val="center"/>
                </w:tcPr>
                <w:p w14:paraId="7C2AF3BB">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设计风量</w:t>
                  </w:r>
                  <w:r>
                    <w:rPr>
                      <w:rFonts w:hint="eastAsia" w:cs="Times New Roman"/>
                      <w:color w:val="auto"/>
                      <w:szCs w:val="21"/>
                      <w:lang w:val="en-US" w:eastAsia="zh-CN"/>
                    </w:rPr>
                    <w:t>7</w:t>
                  </w:r>
                  <w:r>
                    <w:rPr>
                      <w:rFonts w:hint="default" w:ascii="Times New Roman" w:hAnsi="Times New Roman" w:eastAsia="宋体" w:cs="Times New Roman"/>
                      <w:color w:val="auto"/>
                      <w:szCs w:val="21"/>
                    </w:rPr>
                    <w:t>000m</w:t>
                  </w:r>
                  <w:r>
                    <w:rPr>
                      <w:rFonts w:hint="default" w:ascii="Times New Roman" w:hAnsi="Times New Roman" w:eastAsia="宋体" w:cs="Times New Roman"/>
                      <w:color w:val="auto"/>
                      <w:szCs w:val="21"/>
                      <w:vertAlign w:val="superscript"/>
                      <w:lang w:val="en-US" w:eastAsia="zh-CN"/>
                    </w:rPr>
                    <w:t>3</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h</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经布袋除尘+二级活性炭吸附</w:t>
                  </w:r>
                  <w:r>
                    <w:rPr>
                      <w:rFonts w:hint="default" w:ascii="Times New Roman" w:hAnsi="Times New Roman" w:eastAsia="宋体" w:cs="Times New Roman"/>
                      <w:color w:val="auto"/>
                      <w:szCs w:val="21"/>
                    </w:rPr>
                    <w:t>装置+</w:t>
                  </w:r>
                  <w:r>
                    <w:rPr>
                      <w:rFonts w:hint="default" w:ascii="Times New Roman" w:hAnsi="Times New Roman" w:eastAsia="宋体" w:cs="Times New Roman"/>
                      <w:color w:val="auto"/>
                      <w:szCs w:val="21"/>
                      <w:lang w:val="en-US" w:eastAsia="zh-CN"/>
                    </w:rPr>
                    <w:t>18</w:t>
                  </w:r>
                  <w:r>
                    <w:rPr>
                      <w:rFonts w:hint="default" w:ascii="Times New Roman" w:hAnsi="Times New Roman" w:eastAsia="宋体" w:cs="Times New Roman"/>
                      <w:color w:val="auto"/>
                      <w:szCs w:val="21"/>
                    </w:rPr>
                    <w:t>m高排气筒</w:t>
                  </w:r>
                  <w:r>
                    <w:rPr>
                      <w:rFonts w:hint="default" w:ascii="Times New Roman" w:hAnsi="Times New Roman" w:eastAsia="宋体" w:cs="Times New Roman"/>
                      <w:color w:val="auto"/>
                      <w:szCs w:val="21"/>
                      <w:lang w:val="en-US" w:eastAsia="zh-CN"/>
                    </w:rPr>
                    <w:t>DA001</w:t>
                  </w:r>
                  <w:r>
                    <w:rPr>
                      <w:rFonts w:hint="default" w:ascii="Times New Roman" w:hAnsi="Times New Roman" w:eastAsia="宋体" w:cs="Times New Roman"/>
                      <w:color w:val="auto"/>
                      <w:szCs w:val="21"/>
                    </w:rPr>
                    <w:t>排放</w:t>
                  </w:r>
                </w:p>
              </w:tc>
              <w:tc>
                <w:tcPr>
                  <w:tcW w:w="1272" w:type="pct"/>
                  <w:vMerge w:val="restart"/>
                  <w:tcBorders>
                    <w:tl2br w:val="nil"/>
                    <w:tr2bl w:val="nil"/>
                  </w:tcBorders>
                  <w:noWrap w:val="0"/>
                  <w:vAlign w:val="center"/>
                </w:tcPr>
                <w:p w14:paraId="6F9E54BE">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新建</w:t>
                  </w:r>
                </w:p>
              </w:tc>
            </w:tr>
            <w:tr w14:paraId="56779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464" w:type="pct"/>
                  <w:vMerge w:val="continue"/>
                  <w:tcBorders>
                    <w:tl2br w:val="nil"/>
                    <w:tr2bl w:val="nil"/>
                  </w:tcBorders>
                  <w:noWrap w:val="0"/>
                  <w:vAlign w:val="center"/>
                </w:tcPr>
                <w:p w14:paraId="11C8ACDB">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365" w:type="pct"/>
                  <w:vMerge w:val="continue"/>
                  <w:tcBorders>
                    <w:tl2br w:val="nil"/>
                    <w:tr2bl w:val="nil"/>
                  </w:tcBorders>
                  <w:noWrap w:val="0"/>
                  <w:vAlign w:val="center"/>
                </w:tcPr>
                <w:p w14:paraId="126C53D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500" w:type="pct"/>
                  <w:vMerge w:val="continue"/>
                  <w:tcBorders>
                    <w:tl2br w:val="nil"/>
                    <w:tr2bl w:val="nil"/>
                  </w:tcBorders>
                  <w:noWrap w:val="0"/>
                  <w:vAlign w:val="center"/>
                </w:tcPr>
                <w:p w14:paraId="375336F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580" w:type="pct"/>
                  <w:tcBorders>
                    <w:tl2br w:val="nil"/>
                    <w:tr2bl w:val="nil"/>
                  </w:tcBorders>
                  <w:noWrap w:val="0"/>
                  <w:vAlign w:val="center"/>
                </w:tcPr>
                <w:p w14:paraId="4FD91E1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挤出废气</w:t>
                  </w:r>
                </w:p>
              </w:tc>
              <w:tc>
                <w:tcPr>
                  <w:tcW w:w="1816" w:type="pct"/>
                  <w:vMerge w:val="continue"/>
                  <w:tcBorders>
                    <w:tl2br w:val="nil"/>
                    <w:tr2bl w:val="nil"/>
                  </w:tcBorders>
                  <w:noWrap w:val="0"/>
                  <w:vAlign w:val="center"/>
                </w:tcPr>
                <w:p w14:paraId="08F74957">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rPr>
                  </w:pPr>
                </w:p>
              </w:tc>
              <w:tc>
                <w:tcPr>
                  <w:tcW w:w="1272" w:type="pct"/>
                  <w:vMerge w:val="continue"/>
                  <w:tcBorders>
                    <w:tl2br w:val="nil"/>
                    <w:tr2bl w:val="nil"/>
                  </w:tcBorders>
                  <w:noWrap w:val="0"/>
                  <w:vAlign w:val="center"/>
                </w:tcPr>
                <w:p w14:paraId="50A6413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rPr>
                  </w:pPr>
                </w:p>
              </w:tc>
            </w:tr>
            <w:tr w14:paraId="14032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464" w:type="pct"/>
                  <w:vMerge w:val="continue"/>
                  <w:tcBorders>
                    <w:tl2br w:val="nil"/>
                    <w:tr2bl w:val="nil"/>
                  </w:tcBorders>
                  <w:noWrap w:val="0"/>
                  <w:vAlign w:val="center"/>
                </w:tcPr>
                <w:p w14:paraId="1822E93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365" w:type="pct"/>
                  <w:vMerge w:val="continue"/>
                  <w:tcBorders>
                    <w:tl2br w:val="nil"/>
                    <w:tr2bl w:val="nil"/>
                  </w:tcBorders>
                  <w:noWrap w:val="0"/>
                  <w:vAlign w:val="center"/>
                </w:tcPr>
                <w:p w14:paraId="530A819D">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c>
                <w:tcPr>
                  <w:tcW w:w="500" w:type="pct"/>
                  <w:vMerge w:val="restart"/>
                  <w:tcBorders>
                    <w:tl2br w:val="nil"/>
                    <w:tr2bl w:val="nil"/>
                  </w:tcBorders>
                  <w:noWrap w:val="0"/>
                  <w:vAlign w:val="center"/>
                </w:tcPr>
                <w:p w14:paraId="433D25F5">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无组织</w:t>
                  </w:r>
                </w:p>
              </w:tc>
              <w:tc>
                <w:tcPr>
                  <w:tcW w:w="580" w:type="pct"/>
                  <w:tcBorders>
                    <w:tl2br w:val="nil"/>
                    <w:tr2bl w:val="nil"/>
                  </w:tcBorders>
                  <w:noWrap w:val="0"/>
                  <w:vAlign w:val="center"/>
                </w:tcPr>
                <w:p w14:paraId="0AC6E43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破碎粉尘</w:t>
                  </w:r>
                </w:p>
              </w:tc>
              <w:tc>
                <w:tcPr>
                  <w:tcW w:w="1816" w:type="pct"/>
                  <w:tcBorders>
                    <w:tl2br w:val="nil"/>
                    <w:tr2bl w:val="nil"/>
                  </w:tcBorders>
                  <w:noWrap w:val="0"/>
                  <w:vAlign w:val="center"/>
                </w:tcPr>
                <w:p w14:paraId="0190EE94">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经设备自带的布袋除尘器处理</w:t>
                  </w:r>
                </w:p>
              </w:tc>
              <w:tc>
                <w:tcPr>
                  <w:tcW w:w="1272" w:type="pct"/>
                  <w:vMerge w:val="continue"/>
                  <w:tcBorders>
                    <w:tl2br w:val="nil"/>
                    <w:tr2bl w:val="nil"/>
                  </w:tcBorders>
                  <w:noWrap w:val="0"/>
                  <w:vAlign w:val="center"/>
                </w:tcPr>
                <w:p w14:paraId="4E58BBC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r>
            <w:tr w14:paraId="36D75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464" w:type="pct"/>
                  <w:vMerge w:val="continue"/>
                  <w:tcBorders>
                    <w:tl2br w:val="nil"/>
                    <w:tr2bl w:val="nil"/>
                  </w:tcBorders>
                  <w:noWrap w:val="0"/>
                  <w:vAlign w:val="center"/>
                </w:tcPr>
                <w:p w14:paraId="431B040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365" w:type="pct"/>
                  <w:vMerge w:val="continue"/>
                  <w:tcBorders>
                    <w:tl2br w:val="nil"/>
                    <w:tr2bl w:val="nil"/>
                  </w:tcBorders>
                  <w:noWrap w:val="0"/>
                  <w:vAlign w:val="center"/>
                </w:tcPr>
                <w:p w14:paraId="4A660EB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c>
                <w:tcPr>
                  <w:tcW w:w="500" w:type="pct"/>
                  <w:vMerge w:val="continue"/>
                  <w:tcBorders>
                    <w:tl2br w:val="nil"/>
                    <w:tr2bl w:val="nil"/>
                  </w:tcBorders>
                  <w:noWrap w:val="0"/>
                  <w:vAlign w:val="center"/>
                </w:tcPr>
                <w:p w14:paraId="6E6C436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c>
                <w:tcPr>
                  <w:tcW w:w="580" w:type="pct"/>
                  <w:tcBorders>
                    <w:tl2br w:val="nil"/>
                    <w:tr2bl w:val="nil"/>
                  </w:tcBorders>
                  <w:noWrap w:val="0"/>
                  <w:vAlign w:val="center"/>
                </w:tcPr>
                <w:p w14:paraId="62E5D70A">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lang w:val="en-US" w:eastAsia="zh-CN"/>
                    </w:rPr>
                    <w:t>整平粉尘</w:t>
                  </w:r>
                </w:p>
              </w:tc>
              <w:tc>
                <w:tcPr>
                  <w:tcW w:w="1816" w:type="pct"/>
                  <w:tcBorders>
                    <w:tl2br w:val="nil"/>
                    <w:tr2bl w:val="nil"/>
                  </w:tcBorders>
                  <w:noWrap w:val="0"/>
                  <w:vAlign w:val="center"/>
                </w:tcPr>
                <w:p w14:paraId="66EF98D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经设备自带的布袋除尘器处理</w:t>
                  </w:r>
                </w:p>
              </w:tc>
              <w:tc>
                <w:tcPr>
                  <w:tcW w:w="1272" w:type="pct"/>
                  <w:vMerge w:val="continue"/>
                  <w:tcBorders>
                    <w:tl2br w:val="nil"/>
                    <w:tr2bl w:val="nil"/>
                  </w:tcBorders>
                  <w:noWrap w:val="0"/>
                  <w:vAlign w:val="center"/>
                </w:tcPr>
                <w:p w14:paraId="329801FB">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p>
              </w:tc>
            </w:tr>
            <w:tr w14:paraId="03E61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464" w:type="pct"/>
                  <w:vMerge w:val="continue"/>
                  <w:tcBorders>
                    <w:tl2br w:val="nil"/>
                    <w:tr2bl w:val="nil"/>
                  </w:tcBorders>
                  <w:noWrap w:val="0"/>
                  <w:vAlign w:val="center"/>
                </w:tcPr>
                <w:p w14:paraId="7AEDFB0B">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365" w:type="pct"/>
                  <w:vMerge w:val="continue"/>
                  <w:tcBorders>
                    <w:tl2br w:val="nil"/>
                    <w:tr2bl w:val="nil"/>
                  </w:tcBorders>
                  <w:noWrap w:val="0"/>
                  <w:vAlign w:val="center"/>
                </w:tcPr>
                <w:p w14:paraId="581D8CF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500" w:type="pct"/>
                  <w:vMerge w:val="continue"/>
                  <w:tcBorders>
                    <w:tl2br w:val="nil"/>
                    <w:tr2bl w:val="nil"/>
                  </w:tcBorders>
                  <w:noWrap w:val="0"/>
                  <w:vAlign w:val="center"/>
                </w:tcPr>
                <w:p w14:paraId="36F64AD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c>
                <w:tcPr>
                  <w:tcW w:w="580" w:type="pct"/>
                  <w:tcBorders>
                    <w:tl2br w:val="nil"/>
                    <w:tr2bl w:val="nil"/>
                  </w:tcBorders>
                  <w:noWrap w:val="0"/>
                  <w:vAlign w:val="center"/>
                </w:tcPr>
                <w:p w14:paraId="5F8D15A9">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未捕集到的废气</w:t>
                  </w:r>
                </w:p>
              </w:tc>
              <w:tc>
                <w:tcPr>
                  <w:tcW w:w="1816" w:type="pct"/>
                  <w:tcBorders>
                    <w:tl2br w:val="nil"/>
                    <w:tr2bl w:val="nil"/>
                  </w:tcBorders>
                  <w:noWrap w:val="0"/>
                  <w:vAlign w:val="center"/>
                </w:tcPr>
                <w:p w14:paraId="5EFFAB2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lang w:val="en-US" w:eastAsia="zh-CN"/>
                    </w:rPr>
                    <w:t>源头治理，加强管理</w:t>
                  </w:r>
                </w:p>
              </w:tc>
              <w:tc>
                <w:tcPr>
                  <w:tcW w:w="1272" w:type="pct"/>
                  <w:vMerge w:val="continue"/>
                  <w:tcBorders>
                    <w:tl2br w:val="nil"/>
                    <w:tr2bl w:val="nil"/>
                  </w:tcBorders>
                  <w:noWrap w:val="0"/>
                  <w:vAlign w:val="center"/>
                </w:tcPr>
                <w:p w14:paraId="43CE2291">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rPr>
                  </w:pPr>
                </w:p>
              </w:tc>
            </w:tr>
            <w:tr w14:paraId="262A5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244B44FB">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1446" w:type="pct"/>
                  <w:gridSpan w:val="3"/>
                  <w:tcBorders>
                    <w:tl2br w:val="nil"/>
                    <w:tr2bl w:val="nil"/>
                  </w:tcBorders>
                  <w:noWrap w:val="0"/>
                  <w:vAlign w:val="center"/>
                </w:tcPr>
                <w:p w14:paraId="0657A1D5">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w:t>
                  </w:r>
                </w:p>
              </w:tc>
              <w:tc>
                <w:tcPr>
                  <w:tcW w:w="1816" w:type="pct"/>
                  <w:tcBorders>
                    <w:tl2br w:val="nil"/>
                    <w:tr2bl w:val="nil"/>
                  </w:tcBorders>
                  <w:noWrap w:val="0"/>
                  <w:vAlign w:val="center"/>
                </w:tcPr>
                <w:p w14:paraId="31FBF08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隔声、减震</w:t>
                  </w:r>
                </w:p>
              </w:tc>
              <w:tc>
                <w:tcPr>
                  <w:tcW w:w="1272" w:type="pct"/>
                  <w:tcBorders>
                    <w:tl2br w:val="nil"/>
                    <w:tr2bl w:val="nil"/>
                  </w:tcBorders>
                  <w:noWrap w:val="0"/>
                  <w:vAlign w:val="center"/>
                </w:tcPr>
                <w:p w14:paraId="4E1C6C4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厂界达标</w:t>
                  </w:r>
                </w:p>
              </w:tc>
            </w:tr>
            <w:tr w14:paraId="0D3E2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1B2CE8C7">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865" w:type="pct"/>
                  <w:gridSpan w:val="2"/>
                  <w:vMerge w:val="restart"/>
                  <w:tcBorders>
                    <w:tl2br w:val="nil"/>
                    <w:tr2bl w:val="nil"/>
                  </w:tcBorders>
                  <w:noWrap w:val="0"/>
                  <w:vAlign w:val="center"/>
                </w:tcPr>
                <w:p w14:paraId="36B2C0A2">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固废</w:t>
                  </w:r>
                </w:p>
              </w:tc>
              <w:tc>
                <w:tcPr>
                  <w:tcW w:w="580" w:type="pct"/>
                  <w:tcBorders>
                    <w:tl2br w:val="nil"/>
                    <w:tr2bl w:val="nil"/>
                  </w:tcBorders>
                  <w:noWrap w:val="0"/>
                  <w:vAlign w:val="center"/>
                </w:tcPr>
                <w:p w14:paraId="26589AC1">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一般固废</w:t>
                  </w:r>
                  <w:r>
                    <w:rPr>
                      <w:rFonts w:hint="default" w:ascii="Times New Roman" w:hAnsi="Times New Roman" w:eastAsia="宋体" w:cs="Times New Roman"/>
                      <w:color w:val="auto"/>
                      <w:szCs w:val="21"/>
                      <w:lang w:val="en-US" w:eastAsia="zh-CN"/>
                    </w:rPr>
                    <w:t>暂存区</w:t>
                  </w:r>
                </w:p>
              </w:tc>
              <w:tc>
                <w:tcPr>
                  <w:tcW w:w="1816" w:type="pct"/>
                  <w:tcBorders>
                    <w:tl2br w:val="nil"/>
                    <w:tr2bl w:val="nil"/>
                  </w:tcBorders>
                  <w:noWrap w:val="0"/>
                  <w:vAlign w:val="center"/>
                </w:tcPr>
                <w:p w14:paraId="3E17B17F">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eastAsia" w:cs="Times New Roman"/>
                      <w:color w:val="auto"/>
                      <w:szCs w:val="21"/>
                      <w:lang w:val="en-US" w:eastAsia="zh-CN"/>
                    </w:rPr>
                    <w:t>2</w:t>
                  </w:r>
                  <w:r>
                    <w:rPr>
                      <w:rFonts w:hint="default" w:ascii="Times New Roman" w:hAnsi="Times New Roman" w:eastAsia="宋体" w:cs="Times New Roman"/>
                      <w:color w:val="auto"/>
                      <w:szCs w:val="21"/>
                      <w:lang w:val="en-US" w:eastAsia="zh-CN"/>
                    </w:rPr>
                    <w:t>0</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位于车间</w:t>
                  </w:r>
                  <w:r>
                    <w:rPr>
                      <w:rFonts w:hint="default" w:ascii="Times New Roman" w:hAnsi="Times New Roman" w:eastAsia="宋体" w:cs="Times New Roman"/>
                      <w:color w:val="auto"/>
                      <w:szCs w:val="21"/>
                      <w:lang w:val="en-US" w:eastAsia="zh-CN"/>
                    </w:rPr>
                    <w:t>西</w:t>
                  </w:r>
                  <w:r>
                    <w:rPr>
                      <w:rFonts w:hint="default" w:ascii="Times New Roman" w:hAnsi="Times New Roman" w:eastAsia="宋体" w:cs="Times New Roman"/>
                      <w:color w:val="auto"/>
                      <w:szCs w:val="21"/>
                    </w:rPr>
                    <w:t>侧</w:t>
                  </w:r>
                </w:p>
              </w:tc>
              <w:tc>
                <w:tcPr>
                  <w:tcW w:w="1272" w:type="pct"/>
                  <w:tcBorders>
                    <w:tl2br w:val="nil"/>
                    <w:tr2bl w:val="nil"/>
                  </w:tcBorders>
                  <w:noWrap w:val="0"/>
                  <w:vAlign w:val="center"/>
                </w:tcPr>
                <w:p w14:paraId="7CBF495C">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新建</w:t>
                  </w:r>
                </w:p>
              </w:tc>
            </w:tr>
            <w:tr w14:paraId="30527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1DD0C88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865" w:type="pct"/>
                  <w:gridSpan w:val="2"/>
                  <w:vMerge w:val="continue"/>
                  <w:tcBorders>
                    <w:tl2br w:val="nil"/>
                    <w:tr2bl w:val="nil"/>
                  </w:tcBorders>
                  <w:noWrap w:val="0"/>
                  <w:vAlign w:val="center"/>
                </w:tcPr>
                <w:p w14:paraId="43CAB447">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580" w:type="pct"/>
                  <w:tcBorders>
                    <w:tl2br w:val="nil"/>
                    <w:tr2bl w:val="nil"/>
                  </w:tcBorders>
                  <w:noWrap w:val="0"/>
                  <w:vAlign w:val="center"/>
                </w:tcPr>
                <w:p w14:paraId="24D0DE56">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危废</w:t>
                  </w:r>
                  <w:r>
                    <w:rPr>
                      <w:rFonts w:hint="default" w:ascii="Times New Roman" w:hAnsi="Times New Roman" w:eastAsia="宋体" w:cs="Times New Roman"/>
                      <w:color w:val="auto"/>
                      <w:szCs w:val="21"/>
                      <w:lang w:val="en-US" w:eastAsia="zh-CN"/>
                    </w:rPr>
                    <w:t>暂存间</w:t>
                  </w:r>
                </w:p>
              </w:tc>
              <w:tc>
                <w:tcPr>
                  <w:tcW w:w="1816" w:type="pct"/>
                  <w:tcBorders>
                    <w:tl2br w:val="nil"/>
                    <w:tr2bl w:val="nil"/>
                  </w:tcBorders>
                  <w:noWrap w:val="0"/>
                  <w:vAlign w:val="center"/>
                </w:tcPr>
                <w:p w14:paraId="200926A8">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8</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位于车间</w:t>
                  </w:r>
                  <w:r>
                    <w:rPr>
                      <w:rFonts w:hint="default" w:ascii="Times New Roman" w:hAnsi="Times New Roman" w:eastAsia="宋体" w:cs="Times New Roman"/>
                      <w:color w:val="auto"/>
                      <w:szCs w:val="21"/>
                      <w:lang w:val="en-US" w:eastAsia="zh-CN"/>
                    </w:rPr>
                    <w:t>东</w:t>
                  </w:r>
                  <w:r>
                    <w:rPr>
                      <w:rFonts w:hint="default" w:ascii="Times New Roman" w:hAnsi="Times New Roman" w:eastAsia="宋体" w:cs="Times New Roman"/>
                      <w:color w:val="auto"/>
                      <w:szCs w:val="21"/>
                    </w:rPr>
                    <w:t>侧</w:t>
                  </w:r>
                </w:p>
              </w:tc>
              <w:tc>
                <w:tcPr>
                  <w:tcW w:w="1272" w:type="pct"/>
                  <w:tcBorders>
                    <w:tl2br w:val="nil"/>
                    <w:tr2bl w:val="nil"/>
                  </w:tcBorders>
                  <w:noWrap w:val="0"/>
                  <w:vAlign w:val="center"/>
                </w:tcPr>
                <w:p w14:paraId="6DC8DC7E">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新建</w:t>
                  </w:r>
                </w:p>
              </w:tc>
            </w:tr>
            <w:tr w14:paraId="3620F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pct"/>
                  <w:vMerge w:val="continue"/>
                  <w:tcBorders>
                    <w:tl2br w:val="nil"/>
                    <w:tr2bl w:val="nil"/>
                  </w:tcBorders>
                  <w:noWrap w:val="0"/>
                  <w:vAlign w:val="center"/>
                </w:tcPr>
                <w:p w14:paraId="1887E16D">
                  <w:pPr>
                    <w:keepNext w:val="0"/>
                    <w:keepLines w:val="0"/>
                    <w:pageBreakBefore w:val="0"/>
                    <w:kinsoku/>
                    <w:wordWrap/>
                    <w:topLinePunct w:val="0"/>
                    <w:autoSpaceDE/>
                    <w:autoSpaceDN/>
                    <w:bidi w:val="0"/>
                    <w:spacing w:line="240" w:lineRule="auto"/>
                    <w:ind w:firstLine="0" w:firstLineChars="0"/>
                    <w:jc w:val="center"/>
                    <w:rPr>
                      <w:rFonts w:hint="default" w:ascii="Times New Roman" w:hAnsi="Times New Roman" w:eastAsia="宋体" w:cs="Times New Roman"/>
                      <w:color w:val="auto"/>
                      <w:szCs w:val="21"/>
                    </w:rPr>
                  </w:pPr>
                </w:p>
              </w:tc>
              <w:tc>
                <w:tcPr>
                  <w:tcW w:w="1446" w:type="pct"/>
                  <w:gridSpan w:val="3"/>
                  <w:tcBorders>
                    <w:tl2br w:val="nil"/>
                    <w:tr2bl w:val="nil"/>
                  </w:tcBorders>
                  <w:shd w:val="clear" w:color="auto" w:fill="auto"/>
                  <w:noWrap w:val="0"/>
                  <w:vAlign w:val="center"/>
                </w:tcPr>
                <w:p w14:paraId="6AF9505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应急</w:t>
                  </w:r>
                </w:p>
              </w:tc>
              <w:tc>
                <w:tcPr>
                  <w:tcW w:w="1816" w:type="pct"/>
                  <w:tcBorders>
                    <w:tl2br w:val="nil"/>
                    <w:tr2bl w:val="nil"/>
                  </w:tcBorders>
                  <w:shd w:val="clear" w:color="auto" w:fill="auto"/>
                  <w:noWrap w:val="0"/>
                  <w:vAlign w:val="center"/>
                </w:tcPr>
                <w:p w14:paraId="14A4A08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事故应急桶20m</w:t>
                  </w:r>
                  <w:r>
                    <w:rPr>
                      <w:rFonts w:hint="eastAsia"/>
                      <w:color w:val="auto"/>
                      <w:sz w:val="21"/>
                      <w:szCs w:val="21"/>
                      <w:vertAlign w:val="superscript"/>
                      <w:lang w:val="en-US" w:eastAsia="zh-CN"/>
                    </w:rPr>
                    <w:t>3</w:t>
                  </w:r>
                </w:p>
              </w:tc>
              <w:tc>
                <w:tcPr>
                  <w:tcW w:w="1272" w:type="pct"/>
                  <w:tcBorders>
                    <w:tl2br w:val="nil"/>
                    <w:tr2bl w:val="nil"/>
                  </w:tcBorders>
                  <w:shd w:val="clear" w:color="auto" w:fill="auto"/>
                  <w:noWrap w:val="0"/>
                  <w:vAlign w:val="center"/>
                </w:tcPr>
                <w:p w14:paraId="40850C97">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新建</w:t>
                  </w:r>
                </w:p>
              </w:tc>
            </w:tr>
          </w:tbl>
          <w:p w14:paraId="7D023CFD">
            <w:pPr>
              <w:ind w:firstLine="480"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依托可行性分析：</w:t>
            </w:r>
            <w:r>
              <w:rPr>
                <w:rFonts w:hint="default" w:ascii="Times New Roman" w:hAnsi="Times New Roman" w:eastAsia="宋体" w:cs="Times New Roman"/>
                <w:color w:val="auto"/>
                <w:sz w:val="24"/>
                <w:szCs w:val="24"/>
              </w:rPr>
              <w:t>本项目供水由市政给水管网提供，依托</w:t>
            </w:r>
            <w:r>
              <w:rPr>
                <w:rFonts w:hint="default" w:ascii="Times New Roman" w:hAnsi="Times New Roman" w:eastAsia="宋体" w:cs="Times New Roman"/>
                <w:color w:val="auto"/>
                <w:sz w:val="24"/>
                <w:szCs w:val="24"/>
                <w:lang w:val="en-US" w:eastAsia="zh-CN"/>
              </w:rPr>
              <w:t>园区</w:t>
            </w:r>
            <w:r>
              <w:rPr>
                <w:rFonts w:hint="default" w:ascii="Times New Roman" w:hAnsi="Times New Roman" w:eastAsia="宋体" w:cs="Times New Roman"/>
                <w:color w:val="auto"/>
                <w:sz w:val="24"/>
                <w:szCs w:val="24"/>
              </w:rPr>
              <w:t>已建管网；生活污水依托</w:t>
            </w:r>
            <w:r>
              <w:rPr>
                <w:rFonts w:hint="eastAsia" w:cs="Times New Roman"/>
                <w:color w:val="auto"/>
                <w:sz w:val="24"/>
                <w:szCs w:val="24"/>
                <w:lang w:val="en-US" w:eastAsia="zh-CN"/>
              </w:rPr>
              <w:t>园</w:t>
            </w:r>
            <w:r>
              <w:rPr>
                <w:rFonts w:hint="default" w:ascii="Times New Roman" w:hAnsi="Times New Roman" w:eastAsia="宋体" w:cs="Times New Roman"/>
                <w:color w:val="auto"/>
                <w:sz w:val="24"/>
                <w:szCs w:val="24"/>
              </w:rPr>
              <w:t>区已建管网和排污口，接管至</w:t>
            </w:r>
            <w:r>
              <w:rPr>
                <w:rFonts w:hint="eastAsia"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；雨水依托</w:t>
            </w:r>
            <w:r>
              <w:rPr>
                <w:rFonts w:hint="default" w:ascii="Times New Roman" w:hAnsi="Times New Roman" w:eastAsia="宋体" w:cs="Times New Roman"/>
                <w:color w:val="auto"/>
                <w:sz w:val="24"/>
                <w:szCs w:val="24"/>
                <w:lang w:val="en-US" w:eastAsia="zh-CN"/>
              </w:rPr>
              <w:t>园</w:t>
            </w:r>
            <w:r>
              <w:rPr>
                <w:rFonts w:hint="default" w:ascii="Times New Roman" w:hAnsi="Times New Roman" w:eastAsia="宋体" w:cs="Times New Roman"/>
                <w:color w:val="auto"/>
                <w:sz w:val="24"/>
                <w:szCs w:val="24"/>
              </w:rPr>
              <w:t>区现有雨水管网及雨水排口；供电由园区电网提供，依托</w:t>
            </w:r>
            <w:r>
              <w:rPr>
                <w:rFonts w:hint="default" w:ascii="Times New Roman" w:hAnsi="Times New Roman" w:eastAsia="宋体" w:cs="Times New Roman"/>
                <w:color w:val="auto"/>
                <w:sz w:val="24"/>
                <w:szCs w:val="24"/>
                <w:lang w:val="en-US" w:eastAsia="zh-CN"/>
              </w:rPr>
              <w:t>园</w:t>
            </w:r>
            <w:r>
              <w:rPr>
                <w:rFonts w:hint="default" w:ascii="Times New Roman" w:hAnsi="Times New Roman" w:eastAsia="宋体" w:cs="Times New Roman"/>
                <w:color w:val="auto"/>
                <w:sz w:val="24"/>
                <w:szCs w:val="24"/>
              </w:rPr>
              <w:t>区已建电网及变压器。因此，本项目公用工程依托能够满足使用需求</w:t>
            </w:r>
            <w:r>
              <w:rPr>
                <w:rFonts w:hint="default" w:ascii="Times New Roman" w:hAnsi="Times New Roman" w:eastAsia="宋体" w:cs="Times New Roman"/>
                <w:color w:val="auto"/>
                <w:sz w:val="24"/>
                <w:szCs w:val="24"/>
                <w:lang w:eastAsia="zh-CN"/>
              </w:rPr>
              <w:t>。</w:t>
            </w:r>
          </w:p>
          <w:p w14:paraId="1CBEF130">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、人员及班制</w:t>
            </w:r>
          </w:p>
          <w:p w14:paraId="736C52E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bCs/>
                <w:color w:val="auto"/>
                <w:sz w:val="24"/>
                <w:szCs w:val="24"/>
              </w:rPr>
              <w:t>劳动定员为</w:t>
            </w:r>
            <w:r>
              <w:rPr>
                <w:rFonts w:hint="default" w:ascii="Times New Roman" w:hAnsi="Times New Roman" w:eastAsia="宋体" w:cs="Times New Roman"/>
                <w:bCs/>
                <w:color w:val="auto"/>
                <w:sz w:val="24"/>
                <w:szCs w:val="24"/>
                <w:lang w:val="en-US" w:eastAsia="zh-CN"/>
              </w:rPr>
              <w:t>8</w:t>
            </w:r>
            <w:r>
              <w:rPr>
                <w:rFonts w:hint="default" w:ascii="Times New Roman" w:hAnsi="Times New Roman" w:eastAsia="宋体" w:cs="Times New Roman"/>
                <w:bCs/>
                <w:color w:val="auto"/>
                <w:sz w:val="24"/>
                <w:szCs w:val="24"/>
              </w:rPr>
              <w:t>人</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sz w:val="24"/>
              </w:rPr>
              <w:t>年工作300天，每天工作</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班，每班工作8小时，年工作时间为</w:t>
            </w:r>
            <w:r>
              <w:rPr>
                <w:rFonts w:hint="default" w:ascii="Times New Roman" w:hAnsi="Times New Roman" w:eastAsia="宋体" w:cs="Times New Roman"/>
                <w:color w:val="auto"/>
                <w:sz w:val="24"/>
                <w:lang w:val="en-US" w:eastAsia="zh-CN"/>
              </w:rPr>
              <w:t>24</w:t>
            </w:r>
            <w:r>
              <w:rPr>
                <w:rFonts w:hint="default" w:ascii="Times New Roman" w:hAnsi="Times New Roman" w:eastAsia="宋体" w:cs="Times New Roman"/>
                <w:color w:val="auto"/>
                <w:sz w:val="24"/>
              </w:rPr>
              <w:t>00小时</w:t>
            </w:r>
            <w:r>
              <w:rPr>
                <w:rFonts w:hint="default" w:ascii="Times New Roman" w:hAnsi="Times New Roman" w:eastAsia="宋体" w:cs="Times New Roman"/>
                <w:color w:val="auto"/>
                <w:sz w:val="24"/>
                <w:szCs w:val="24"/>
              </w:rPr>
              <w:t>。</w:t>
            </w:r>
          </w:p>
          <w:p w14:paraId="6274F14B">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、物料及水平衡</w:t>
            </w:r>
          </w:p>
          <w:p w14:paraId="018B66B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（1）水平衡</w:t>
            </w:r>
          </w:p>
          <w:p w14:paraId="0C147DA8">
            <w:pPr>
              <w:spacing w:line="240" w:lineRule="auto"/>
              <w:ind w:firstLine="0" w:firstLineChars="0"/>
              <w:jc w:val="center"/>
              <w:rPr>
                <w:rFonts w:hint="default" w:ascii="Times New Roman" w:hAnsi="Times New Roman" w:eastAsia="宋体" w:cs="Times New Roman"/>
                <w:color w:val="auto"/>
                <w:sz w:val="24"/>
                <w:szCs w:val="24"/>
              </w:rPr>
            </w:pPr>
            <w:r>
              <w:rPr>
                <w:color w:val="auto"/>
              </w:rPr>
              <w:drawing>
                <wp:inline distT="0" distB="0" distL="114300" distR="114300">
                  <wp:extent cx="4827905" cy="2266950"/>
                  <wp:effectExtent l="0" t="0" r="3175" b="381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8"/>
                          <a:stretch>
                            <a:fillRect/>
                          </a:stretch>
                        </pic:blipFill>
                        <pic:spPr>
                          <a:xfrm>
                            <a:off x="0" y="0"/>
                            <a:ext cx="4827905" cy="2266950"/>
                          </a:xfrm>
                          <a:prstGeom prst="rect">
                            <a:avLst/>
                          </a:prstGeom>
                          <a:noFill/>
                          <a:ln>
                            <a:noFill/>
                          </a:ln>
                        </pic:spPr>
                      </pic:pic>
                    </a:graphicData>
                  </a:graphic>
                </wp:inline>
              </w:drawing>
            </w:r>
          </w:p>
          <w:p w14:paraId="48E405C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图2-</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项目水平衡图 单位：t/a</w:t>
            </w:r>
          </w:p>
          <w:p w14:paraId="3FA9A672">
            <w:pPr>
              <w:ind w:firstLine="0" w:firstLineChars="0"/>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eastAsia="zh-CN"/>
              </w:rPr>
              <w:t>（</w:t>
            </w:r>
            <w:r>
              <w:rPr>
                <w:rFonts w:hint="eastAsia" w:cs="Times New Roman"/>
                <w:b/>
                <w:bCs/>
                <w:color w:val="auto"/>
                <w:sz w:val="24"/>
                <w:szCs w:val="24"/>
                <w:lang w:val="en-US" w:eastAsia="zh-CN"/>
              </w:rPr>
              <w:t>2</w:t>
            </w:r>
            <w:r>
              <w:rPr>
                <w:rFonts w:hint="eastAsia" w:cs="Times New Roman"/>
                <w:b/>
                <w:bCs/>
                <w:color w:val="auto"/>
                <w:sz w:val="24"/>
                <w:szCs w:val="24"/>
                <w:lang w:eastAsia="zh-CN"/>
              </w:rPr>
              <w:t>）</w:t>
            </w:r>
            <w:r>
              <w:rPr>
                <w:rFonts w:hint="eastAsia" w:cs="Times New Roman"/>
                <w:b/>
                <w:bCs/>
                <w:color w:val="auto"/>
                <w:sz w:val="24"/>
                <w:szCs w:val="24"/>
                <w:lang w:val="en-US" w:eastAsia="zh-CN"/>
              </w:rPr>
              <w:t>物料平衡</w:t>
            </w:r>
          </w:p>
          <w:p w14:paraId="405F32F6">
            <w:pPr>
              <w:ind w:firstLine="420"/>
              <w:rPr>
                <w:color w:val="auto"/>
              </w:rPr>
            </w:pP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物料</w:t>
            </w:r>
            <w:r>
              <w:rPr>
                <w:rFonts w:hint="default" w:ascii="Times New Roman" w:hAnsi="Times New Roman" w:eastAsia="宋体" w:cs="Times New Roman"/>
                <w:color w:val="auto"/>
                <w:sz w:val="24"/>
                <w:szCs w:val="24"/>
              </w:rPr>
              <w:t>平衡表详见表2-</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w:t>
            </w:r>
          </w:p>
          <w:p w14:paraId="33A94B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表2-</w:t>
            </w:r>
            <w:r>
              <w:rPr>
                <w:rFonts w:hint="eastAsia"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lang w:val="en-US" w:eastAsia="zh-CN"/>
              </w:rPr>
              <w:t xml:space="preserve">  项目</w:t>
            </w:r>
            <w:r>
              <w:rPr>
                <w:rFonts w:hint="eastAsia" w:ascii="Times New Roman" w:hAnsi="Times New Roman" w:eastAsia="宋体" w:cs="Times New Roman"/>
                <w:b/>
                <w:bCs/>
                <w:color w:val="auto"/>
                <w:sz w:val="21"/>
                <w:szCs w:val="21"/>
                <w:lang w:val="en-US" w:eastAsia="zh-CN"/>
              </w:rPr>
              <w:t>物料</w:t>
            </w:r>
            <w:r>
              <w:rPr>
                <w:rFonts w:hint="default" w:ascii="Times New Roman" w:hAnsi="Times New Roman" w:eastAsia="宋体" w:cs="Times New Roman"/>
                <w:b/>
                <w:bCs/>
                <w:color w:val="auto"/>
                <w:sz w:val="21"/>
                <w:szCs w:val="21"/>
                <w:lang w:val="en-US" w:eastAsia="zh-CN"/>
              </w:rPr>
              <w:t>平衡一览表</w:t>
            </w:r>
            <w:r>
              <w:rPr>
                <w:rFonts w:hint="eastAsia" w:ascii="Times New Roman" w:hAnsi="Times New Roman" w:eastAsia="宋体" w:cs="Times New Roman"/>
                <w:b/>
                <w:bCs/>
                <w:color w:val="auto"/>
                <w:sz w:val="21"/>
                <w:szCs w:val="21"/>
                <w:lang w:val="en-US" w:eastAsia="zh-CN"/>
              </w:rPr>
              <w:t>（单位：t/a）</w:t>
            </w:r>
          </w:p>
          <w:tbl>
            <w:tblPr>
              <w:tblStyle w:val="44"/>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88"/>
              <w:gridCol w:w="1766"/>
              <w:gridCol w:w="1230"/>
              <w:gridCol w:w="608"/>
              <w:gridCol w:w="3452"/>
              <w:gridCol w:w="1301"/>
            </w:tblGrid>
            <w:tr w14:paraId="43CF7E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2100" w:type="pct"/>
                  <w:gridSpan w:val="3"/>
                  <w:noWrap w:val="0"/>
                  <w:vAlign w:val="center"/>
                </w:tcPr>
                <w:p w14:paraId="531608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进料</w:t>
                  </w:r>
                </w:p>
              </w:tc>
              <w:tc>
                <w:tcPr>
                  <w:tcW w:w="2899" w:type="pct"/>
                  <w:gridSpan w:val="3"/>
                  <w:noWrap w:val="0"/>
                  <w:vAlign w:val="center"/>
                </w:tcPr>
                <w:p w14:paraId="19C8B7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出料</w:t>
                  </w:r>
                </w:p>
              </w:tc>
            </w:tr>
            <w:tr w14:paraId="14FCA4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80" w:type="pct"/>
                  <w:noWrap w:val="0"/>
                  <w:vAlign w:val="center"/>
                </w:tcPr>
                <w:p w14:paraId="0579C3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955" w:type="pct"/>
                  <w:noWrap w:val="0"/>
                  <w:vAlign w:val="center"/>
                </w:tcPr>
                <w:p w14:paraId="5E2F31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物料名称</w:t>
                  </w:r>
                </w:p>
              </w:tc>
              <w:tc>
                <w:tcPr>
                  <w:tcW w:w="665" w:type="pct"/>
                  <w:noWrap w:val="0"/>
                  <w:vAlign w:val="center"/>
                </w:tcPr>
                <w:p w14:paraId="26FD84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年用量</w:t>
                  </w:r>
                </w:p>
              </w:tc>
              <w:tc>
                <w:tcPr>
                  <w:tcW w:w="328" w:type="pct"/>
                  <w:noWrap w:val="0"/>
                  <w:vAlign w:val="center"/>
                </w:tcPr>
                <w:p w14:paraId="66DDC7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866" w:type="pct"/>
                  <w:noWrap w:val="0"/>
                  <w:vAlign w:val="center"/>
                </w:tcPr>
                <w:p w14:paraId="3CCAB2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物料</w:t>
                  </w:r>
                  <w:r>
                    <w:rPr>
                      <w:rFonts w:hint="default" w:ascii="Times New Roman" w:hAnsi="Times New Roman" w:eastAsia="宋体" w:cs="Times New Roman"/>
                      <w:color w:val="auto"/>
                      <w:sz w:val="21"/>
                      <w:szCs w:val="21"/>
                      <w:lang w:val="en-US" w:eastAsia="zh-CN"/>
                    </w:rPr>
                    <w:t>名称</w:t>
                  </w:r>
                </w:p>
              </w:tc>
              <w:tc>
                <w:tcPr>
                  <w:tcW w:w="703" w:type="pct"/>
                  <w:noWrap w:val="0"/>
                  <w:vAlign w:val="center"/>
                </w:tcPr>
                <w:p w14:paraId="2CCD7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产生量</w:t>
                  </w:r>
                </w:p>
              </w:tc>
            </w:tr>
            <w:tr w14:paraId="142019C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480" w:type="pct"/>
                  <w:noWrap w:val="0"/>
                  <w:vAlign w:val="center"/>
                </w:tcPr>
                <w:p w14:paraId="2033A1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955" w:type="pct"/>
                  <w:shd w:val="clear" w:color="auto" w:fill="auto"/>
                  <w:noWrap w:val="0"/>
                  <w:vAlign w:val="center"/>
                </w:tcPr>
                <w:p w14:paraId="3E8F774A">
                  <w:pPr>
                    <w:pStyle w:val="375"/>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PVC</w:t>
                  </w:r>
                </w:p>
              </w:tc>
              <w:tc>
                <w:tcPr>
                  <w:tcW w:w="665" w:type="pct"/>
                  <w:shd w:val="clear" w:color="auto" w:fill="auto"/>
                  <w:noWrap w:val="0"/>
                  <w:vAlign w:val="center"/>
                </w:tcPr>
                <w:p w14:paraId="7A015C02">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400</w:t>
                  </w:r>
                </w:p>
              </w:tc>
              <w:tc>
                <w:tcPr>
                  <w:tcW w:w="328" w:type="pct"/>
                  <w:noWrap w:val="0"/>
                  <w:vAlign w:val="center"/>
                </w:tcPr>
                <w:p w14:paraId="49B308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866" w:type="pct"/>
                  <w:noWrap w:val="0"/>
                  <w:vAlign w:val="center"/>
                </w:tcPr>
                <w:p w14:paraId="584232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游艇护舷</w:t>
                  </w:r>
                </w:p>
              </w:tc>
              <w:tc>
                <w:tcPr>
                  <w:tcW w:w="703" w:type="pct"/>
                  <w:noWrap w:val="0"/>
                  <w:vAlign w:val="center"/>
                </w:tcPr>
                <w:p w14:paraId="3C11E1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r>
            <w:tr w14:paraId="48A588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7E0155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955" w:type="pct"/>
                  <w:shd w:val="clear" w:color="auto" w:fill="auto"/>
                  <w:noWrap w:val="0"/>
                  <w:vAlign w:val="center"/>
                </w:tcPr>
                <w:p w14:paraId="468E66AB">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重质碳酸钙</w:t>
                  </w:r>
                </w:p>
              </w:tc>
              <w:tc>
                <w:tcPr>
                  <w:tcW w:w="665" w:type="pct"/>
                  <w:shd w:val="clear" w:color="auto" w:fill="auto"/>
                  <w:noWrap w:val="0"/>
                  <w:vAlign w:val="center"/>
                </w:tcPr>
                <w:p w14:paraId="0E6A55CC">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53</w:t>
                  </w:r>
                  <w:r>
                    <w:rPr>
                      <w:rFonts w:hint="default" w:ascii="Times New Roman" w:hAnsi="Times New Roman" w:eastAsia="宋体" w:cs="Times New Roman"/>
                      <w:color w:val="auto"/>
                      <w:kern w:val="2"/>
                      <w:sz w:val="21"/>
                      <w:szCs w:val="21"/>
                      <w:lang w:val="en-US" w:eastAsia="zh-CN" w:bidi="ar-SA"/>
                    </w:rPr>
                    <w:t>0</w:t>
                  </w:r>
                </w:p>
              </w:tc>
              <w:tc>
                <w:tcPr>
                  <w:tcW w:w="328" w:type="pct"/>
                  <w:noWrap w:val="0"/>
                  <w:vAlign w:val="center"/>
                </w:tcPr>
                <w:p w14:paraId="233DEC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866" w:type="pct"/>
                  <w:noWrap w:val="0"/>
                  <w:vAlign w:val="center"/>
                </w:tcPr>
                <w:p w14:paraId="2FBE37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游艇甲板</w:t>
                  </w:r>
                </w:p>
              </w:tc>
              <w:tc>
                <w:tcPr>
                  <w:tcW w:w="703" w:type="pct"/>
                  <w:noWrap w:val="0"/>
                  <w:vAlign w:val="center"/>
                </w:tcPr>
                <w:p w14:paraId="31EDB8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r>
            <w:tr w14:paraId="403FA2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6B1717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955" w:type="pct"/>
                  <w:shd w:val="clear" w:color="auto" w:fill="auto"/>
                  <w:noWrap w:val="0"/>
                  <w:vAlign w:val="center"/>
                </w:tcPr>
                <w:p w14:paraId="65B80170">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环保热稳定剂</w:t>
                  </w:r>
                </w:p>
              </w:tc>
              <w:tc>
                <w:tcPr>
                  <w:tcW w:w="665" w:type="pct"/>
                  <w:shd w:val="clear" w:color="auto" w:fill="auto"/>
                  <w:noWrap w:val="0"/>
                  <w:vAlign w:val="center"/>
                </w:tcPr>
                <w:p w14:paraId="687F6319">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w:t>
                  </w:r>
                </w:p>
              </w:tc>
              <w:tc>
                <w:tcPr>
                  <w:tcW w:w="328" w:type="pct"/>
                  <w:noWrap w:val="0"/>
                  <w:vAlign w:val="center"/>
                </w:tcPr>
                <w:p w14:paraId="7DD83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866" w:type="pct"/>
                  <w:noWrap w:val="0"/>
                  <w:vAlign w:val="center"/>
                </w:tcPr>
                <w:p w14:paraId="139634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码头护舷</w:t>
                  </w:r>
                </w:p>
              </w:tc>
              <w:tc>
                <w:tcPr>
                  <w:tcW w:w="703" w:type="pct"/>
                  <w:noWrap w:val="0"/>
                  <w:vAlign w:val="center"/>
                </w:tcPr>
                <w:p w14:paraId="3E6BF2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r>
            <w:tr w14:paraId="56DA0E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7910D2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955" w:type="pct"/>
                  <w:shd w:val="clear" w:color="auto" w:fill="auto"/>
                  <w:noWrap w:val="0"/>
                  <w:vAlign w:val="center"/>
                </w:tcPr>
                <w:p w14:paraId="4AE69851">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ESO</w:t>
                  </w:r>
                </w:p>
              </w:tc>
              <w:tc>
                <w:tcPr>
                  <w:tcW w:w="665" w:type="pct"/>
                  <w:shd w:val="clear" w:color="auto" w:fill="auto"/>
                  <w:noWrap w:val="0"/>
                  <w:vAlign w:val="center"/>
                </w:tcPr>
                <w:p w14:paraId="009CA1F2">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4</w:t>
                  </w:r>
                </w:p>
              </w:tc>
              <w:tc>
                <w:tcPr>
                  <w:tcW w:w="328" w:type="pct"/>
                  <w:noWrap w:val="0"/>
                  <w:vAlign w:val="center"/>
                </w:tcPr>
                <w:p w14:paraId="7DB9F4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866" w:type="pct"/>
                  <w:noWrap w:val="0"/>
                  <w:vAlign w:val="center"/>
                </w:tcPr>
                <w:p w14:paraId="183327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投料粉尘</w:t>
                  </w:r>
                </w:p>
              </w:tc>
              <w:tc>
                <w:tcPr>
                  <w:tcW w:w="703" w:type="pct"/>
                  <w:noWrap w:val="0"/>
                  <w:vAlign w:val="center"/>
                </w:tcPr>
                <w:p w14:paraId="2D040E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0.95</w:t>
                  </w:r>
                </w:p>
              </w:tc>
            </w:tr>
            <w:tr w14:paraId="22572FB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01F0F4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955" w:type="pct"/>
                  <w:shd w:val="clear" w:color="auto" w:fill="auto"/>
                  <w:noWrap w:val="0"/>
                  <w:vAlign w:val="center"/>
                </w:tcPr>
                <w:p w14:paraId="6F3BC5A2">
                  <w:pPr>
                    <w:pStyle w:val="375"/>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色母</w:t>
                  </w:r>
                </w:p>
              </w:tc>
              <w:tc>
                <w:tcPr>
                  <w:tcW w:w="665" w:type="pct"/>
                  <w:shd w:val="clear" w:color="auto" w:fill="auto"/>
                  <w:noWrap w:val="0"/>
                  <w:vAlign w:val="center"/>
                </w:tcPr>
                <w:p w14:paraId="3FE834A4">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328" w:type="pct"/>
                  <w:noWrap w:val="0"/>
                  <w:vAlign w:val="center"/>
                </w:tcPr>
                <w:p w14:paraId="028489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866" w:type="pct"/>
                  <w:noWrap w:val="0"/>
                  <w:vAlign w:val="center"/>
                </w:tcPr>
                <w:p w14:paraId="39AF37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挤出废气</w:t>
                  </w:r>
                </w:p>
              </w:tc>
              <w:tc>
                <w:tcPr>
                  <w:tcW w:w="703" w:type="pct"/>
                  <w:noWrap w:val="0"/>
                  <w:vAlign w:val="center"/>
                </w:tcPr>
                <w:p w14:paraId="5522AD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0.25</w:t>
                  </w:r>
                </w:p>
              </w:tc>
            </w:tr>
            <w:tr w14:paraId="594B39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2FC4DF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955" w:type="pct"/>
                  <w:noWrap w:val="0"/>
                  <w:vAlign w:val="center"/>
                </w:tcPr>
                <w:p w14:paraId="5B662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5" w:type="pct"/>
                  <w:noWrap w:val="0"/>
                  <w:vAlign w:val="center"/>
                </w:tcPr>
                <w:p w14:paraId="3E1E19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28" w:type="pct"/>
                  <w:noWrap w:val="0"/>
                  <w:vAlign w:val="center"/>
                </w:tcPr>
                <w:p w14:paraId="3F37F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866" w:type="pct"/>
                  <w:noWrap w:val="0"/>
                  <w:vAlign w:val="center"/>
                </w:tcPr>
                <w:p w14:paraId="43839C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整平粉尘</w:t>
                  </w:r>
                </w:p>
              </w:tc>
              <w:tc>
                <w:tcPr>
                  <w:tcW w:w="703" w:type="pct"/>
                  <w:noWrap w:val="0"/>
                  <w:vAlign w:val="center"/>
                </w:tcPr>
                <w:p w14:paraId="7387F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0.01</w:t>
                  </w:r>
                </w:p>
              </w:tc>
            </w:tr>
            <w:tr w14:paraId="2987FF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9" w:hRule="atLeast"/>
              </w:trPr>
              <w:tc>
                <w:tcPr>
                  <w:tcW w:w="480" w:type="pct"/>
                  <w:noWrap w:val="0"/>
                  <w:vAlign w:val="center"/>
                </w:tcPr>
                <w:p w14:paraId="15ADBE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955" w:type="pct"/>
                  <w:noWrap w:val="0"/>
                  <w:vAlign w:val="center"/>
                </w:tcPr>
                <w:p w14:paraId="7415F8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65" w:type="pct"/>
                  <w:noWrap w:val="0"/>
                  <w:vAlign w:val="center"/>
                </w:tcPr>
                <w:p w14:paraId="4F902E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328" w:type="pct"/>
                  <w:noWrap w:val="0"/>
                  <w:vAlign w:val="center"/>
                </w:tcPr>
                <w:p w14:paraId="5F74CA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866" w:type="pct"/>
                  <w:shd w:val="clear" w:color="auto" w:fill="auto"/>
                  <w:noWrap w:val="0"/>
                  <w:vAlign w:val="center"/>
                </w:tcPr>
                <w:p w14:paraId="4E5DA7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不合格品</w:t>
                  </w:r>
                </w:p>
              </w:tc>
              <w:tc>
                <w:tcPr>
                  <w:tcW w:w="703" w:type="pct"/>
                  <w:shd w:val="clear" w:color="auto" w:fill="auto"/>
                  <w:noWrap w:val="0"/>
                  <w:vAlign w:val="center"/>
                </w:tcPr>
                <w:p w14:paraId="142253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2.79</w:t>
                  </w:r>
                </w:p>
              </w:tc>
            </w:tr>
            <w:tr w14:paraId="77758D1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435" w:type="pct"/>
                  <w:gridSpan w:val="2"/>
                  <w:noWrap w:val="0"/>
                  <w:vAlign w:val="center"/>
                </w:tcPr>
                <w:p w14:paraId="02AEAC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665" w:type="pct"/>
                  <w:noWrap w:val="0"/>
                  <w:vAlign w:val="center"/>
                </w:tcPr>
                <w:p w14:paraId="541FC6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r>
                    <w:rPr>
                      <w:rFonts w:hint="eastAsia" w:cs="Times New Roman"/>
                      <w:color w:val="auto"/>
                      <w:sz w:val="21"/>
                      <w:szCs w:val="21"/>
                      <w:lang w:val="en-US" w:eastAsia="zh-CN"/>
                    </w:rPr>
                    <w:t>04</w:t>
                  </w:r>
                </w:p>
              </w:tc>
              <w:tc>
                <w:tcPr>
                  <w:tcW w:w="2195" w:type="pct"/>
                  <w:gridSpan w:val="2"/>
                  <w:noWrap w:val="0"/>
                  <w:vAlign w:val="center"/>
                </w:tcPr>
                <w:p w14:paraId="412FBC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703" w:type="pct"/>
                  <w:noWrap w:val="0"/>
                  <w:vAlign w:val="center"/>
                </w:tcPr>
                <w:p w14:paraId="5FF1B8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r>
                    <w:rPr>
                      <w:rFonts w:hint="eastAsia" w:cs="Times New Roman"/>
                      <w:color w:val="auto"/>
                      <w:sz w:val="21"/>
                      <w:szCs w:val="21"/>
                      <w:lang w:val="en-US" w:eastAsia="zh-CN"/>
                    </w:rPr>
                    <w:t>04</w:t>
                  </w:r>
                </w:p>
              </w:tc>
            </w:tr>
          </w:tbl>
          <w:p w14:paraId="51DEA75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eastAsia" w:cs="Times New Roman"/>
                <w:b/>
                <w:bCs/>
                <w:color w:val="auto"/>
                <w:sz w:val="24"/>
                <w:szCs w:val="24"/>
                <w:lang w:val="en-US" w:eastAsia="zh-CN"/>
              </w:rPr>
              <w:t>3</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VOCs</w:t>
            </w:r>
            <w:r>
              <w:rPr>
                <w:rFonts w:hint="default" w:ascii="Times New Roman" w:hAnsi="Times New Roman" w:eastAsia="宋体" w:cs="Times New Roman"/>
                <w:b/>
                <w:bCs/>
                <w:color w:val="auto"/>
                <w:sz w:val="24"/>
                <w:szCs w:val="24"/>
              </w:rPr>
              <w:t>平衡</w:t>
            </w:r>
          </w:p>
          <w:p w14:paraId="4293CBA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物料</w:t>
            </w:r>
            <w:r>
              <w:rPr>
                <w:rFonts w:hint="default" w:ascii="Times New Roman" w:hAnsi="Times New Roman" w:eastAsia="宋体" w:cs="Times New Roman"/>
                <w:color w:val="auto"/>
                <w:sz w:val="24"/>
                <w:szCs w:val="24"/>
              </w:rPr>
              <w:t>平衡表详见表2-</w:t>
            </w:r>
            <w:r>
              <w:rPr>
                <w:rFonts w:hint="eastAsia" w:cs="Times New Roman"/>
                <w:color w:val="auto"/>
                <w:sz w:val="24"/>
                <w:szCs w:val="24"/>
                <w:lang w:val="en-US" w:eastAsia="zh-CN"/>
              </w:rPr>
              <w:t>8</w:t>
            </w:r>
            <w:r>
              <w:rPr>
                <w:rFonts w:hint="default" w:ascii="Times New Roman" w:hAnsi="Times New Roman" w:eastAsia="宋体" w:cs="Times New Roman"/>
                <w:color w:val="auto"/>
                <w:sz w:val="24"/>
                <w:szCs w:val="24"/>
              </w:rPr>
              <w:t>。</w:t>
            </w:r>
          </w:p>
          <w:p w14:paraId="16B6439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highlight w:val="none"/>
              </w:rPr>
              <w:t>表2-</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物料VOCs产生</w:t>
            </w:r>
            <w:r>
              <w:rPr>
                <w:rFonts w:hint="default" w:ascii="Times New Roman" w:hAnsi="Times New Roman" w:eastAsia="宋体" w:cs="Times New Roman"/>
                <w:b/>
                <w:bCs/>
                <w:color w:val="auto"/>
                <w:sz w:val="21"/>
                <w:szCs w:val="21"/>
                <w:highlight w:val="none"/>
              </w:rPr>
              <w:t>一览表（单位：t/a）</w:t>
            </w:r>
          </w:p>
          <w:tbl>
            <w:tblPr>
              <w:tblStyle w:val="45"/>
              <w:tblW w:w="498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425"/>
              <w:gridCol w:w="1064"/>
              <w:gridCol w:w="1335"/>
              <w:gridCol w:w="1533"/>
              <w:gridCol w:w="684"/>
              <w:gridCol w:w="1162"/>
              <w:gridCol w:w="1309"/>
            </w:tblGrid>
            <w:tr w14:paraId="7DB90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290" w:type="pct"/>
                  <w:gridSpan w:val="5"/>
                  <w:tcBorders>
                    <w:tl2br w:val="nil"/>
                    <w:tr2bl w:val="nil"/>
                  </w:tcBorders>
                  <w:noWrap w:val="0"/>
                  <w:vAlign w:val="center"/>
                </w:tcPr>
                <w:p w14:paraId="2CD1F3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入方</w:t>
                  </w:r>
                </w:p>
              </w:tc>
              <w:tc>
                <w:tcPr>
                  <w:tcW w:w="1709" w:type="pct"/>
                  <w:gridSpan w:val="3"/>
                  <w:tcBorders>
                    <w:tl2br w:val="nil"/>
                    <w:tr2bl w:val="nil"/>
                  </w:tcBorders>
                  <w:noWrap w:val="0"/>
                  <w:vAlign w:val="center"/>
                </w:tcPr>
                <w:p w14:paraId="382FE71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出方</w:t>
                  </w:r>
                </w:p>
              </w:tc>
            </w:tr>
            <w:tr w14:paraId="3421D8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87" w:type="pct"/>
                  <w:tcBorders>
                    <w:tl2br w:val="nil"/>
                    <w:tr2bl w:val="nil"/>
                  </w:tcBorders>
                  <w:noWrap w:val="0"/>
                  <w:vAlign w:val="center"/>
                </w:tcPr>
                <w:p w14:paraId="088A2B74">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sz w:val="21"/>
                      <w:szCs w:val="21"/>
                      <w:vertAlign w:val="baseline"/>
                      <w:lang w:val="en-US" w:eastAsia="zh-CN"/>
                    </w:rPr>
                  </w:pPr>
                  <w:r>
                    <w:rPr>
                      <w:rFonts w:hint="default" w:ascii="Times New Roman" w:hAnsi="Times New Roman" w:eastAsia="宋体" w:cs="Times New Roman"/>
                      <w:b/>
                      <w:color w:val="auto"/>
                      <w:sz w:val="21"/>
                      <w:szCs w:val="21"/>
                      <w:vertAlign w:val="baseline"/>
                      <w:lang w:val="en-US" w:eastAsia="zh-CN"/>
                    </w:rPr>
                    <w:t>生产工序</w:t>
                  </w:r>
                </w:p>
              </w:tc>
              <w:tc>
                <w:tcPr>
                  <w:tcW w:w="772" w:type="pct"/>
                  <w:tcBorders>
                    <w:tl2br w:val="nil"/>
                    <w:tr2bl w:val="nil"/>
                  </w:tcBorders>
                  <w:noWrap w:val="0"/>
                  <w:vAlign w:val="center"/>
                </w:tcPr>
                <w:p w14:paraId="145FF87D">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sz w:val="21"/>
                      <w:szCs w:val="21"/>
                      <w:vertAlign w:val="baseline"/>
                      <w:lang w:val="en-US" w:eastAsia="zh-CN"/>
                    </w:rPr>
                  </w:pPr>
                  <w:r>
                    <w:rPr>
                      <w:rFonts w:hint="default" w:ascii="Times New Roman" w:hAnsi="Times New Roman" w:eastAsia="宋体" w:cs="Times New Roman"/>
                      <w:b/>
                      <w:color w:val="auto"/>
                      <w:sz w:val="21"/>
                      <w:szCs w:val="21"/>
                      <w:vertAlign w:val="baseline"/>
                      <w:lang w:val="en-US" w:eastAsia="zh-CN"/>
                    </w:rPr>
                    <w:t>原料名称</w:t>
                  </w:r>
                </w:p>
              </w:tc>
              <w:tc>
                <w:tcPr>
                  <w:tcW w:w="576" w:type="pct"/>
                  <w:tcBorders>
                    <w:tl2br w:val="nil"/>
                    <w:tr2bl w:val="nil"/>
                  </w:tcBorders>
                  <w:noWrap w:val="0"/>
                  <w:vAlign w:val="center"/>
                </w:tcPr>
                <w:p w14:paraId="71B5DF8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color w:val="auto"/>
                      <w:sz w:val="21"/>
                      <w:szCs w:val="21"/>
                      <w:vertAlign w:val="baseline"/>
                      <w:lang w:val="en-US" w:eastAsia="zh-CN"/>
                    </w:rPr>
                  </w:pPr>
                  <w:r>
                    <w:rPr>
                      <w:rFonts w:hint="default" w:ascii="Times New Roman" w:hAnsi="Times New Roman" w:eastAsia="宋体" w:cs="Times New Roman"/>
                      <w:b/>
                      <w:color w:val="auto"/>
                      <w:sz w:val="21"/>
                      <w:szCs w:val="21"/>
                      <w:vertAlign w:val="baseline"/>
                      <w:lang w:val="en-US" w:eastAsia="zh-CN"/>
                    </w:rPr>
                    <w:t>原料用量（t/a）</w:t>
                  </w:r>
                </w:p>
              </w:tc>
              <w:tc>
                <w:tcPr>
                  <w:tcW w:w="723" w:type="pct"/>
                  <w:tcBorders>
                    <w:tl2br w:val="nil"/>
                    <w:tr2bl w:val="nil"/>
                  </w:tcBorders>
                  <w:noWrap w:val="0"/>
                  <w:vAlign w:val="center"/>
                </w:tcPr>
                <w:p w14:paraId="05D7590F">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lang w:val="en-US" w:eastAsia="zh-CN"/>
                    </w:rPr>
                    <w:t>产污系数（kg/吨-产品）</w:t>
                  </w:r>
                </w:p>
              </w:tc>
              <w:tc>
                <w:tcPr>
                  <w:tcW w:w="830" w:type="pct"/>
                  <w:tcBorders>
                    <w:tl2br w:val="nil"/>
                    <w:tr2bl w:val="nil"/>
                  </w:tcBorders>
                  <w:noWrap w:val="0"/>
                  <w:vAlign w:val="center"/>
                </w:tcPr>
                <w:p w14:paraId="72CE2F6F">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lang w:val="en-US" w:eastAsia="zh-CN"/>
                    </w:rPr>
                    <w:t>VOCs产生量（t/a）</w:t>
                  </w:r>
                </w:p>
              </w:tc>
              <w:tc>
                <w:tcPr>
                  <w:tcW w:w="1000" w:type="pct"/>
                  <w:gridSpan w:val="2"/>
                  <w:tcBorders>
                    <w:tl2br w:val="nil"/>
                    <w:tr2bl w:val="nil"/>
                  </w:tcBorders>
                  <w:noWrap w:val="0"/>
                  <w:vAlign w:val="center"/>
                </w:tcPr>
                <w:p w14:paraId="6CEC2F60">
                  <w:pPr>
                    <w:pStyle w:val="11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highlight w:val="none"/>
                      <w:lang w:val="en-US" w:eastAsia="zh-CN"/>
                    </w:rPr>
                    <w:t>去向</w:t>
                  </w:r>
                </w:p>
              </w:tc>
              <w:tc>
                <w:tcPr>
                  <w:tcW w:w="709" w:type="pct"/>
                  <w:tcBorders>
                    <w:tl2br w:val="nil"/>
                    <w:tr2bl w:val="nil"/>
                  </w:tcBorders>
                  <w:noWrap w:val="0"/>
                  <w:vAlign w:val="center"/>
                </w:tcPr>
                <w:p w14:paraId="16090E9A">
                  <w:pPr>
                    <w:pStyle w:val="11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highlight w:val="none"/>
                      <w:lang w:val="en-US" w:eastAsia="zh-CN"/>
                    </w:rPr>
                    <w:t>VOCs产生量（t）</w:t>
                  </w:r>
                </w:p>
              </w:tc>
            </w:tr>
            <w:tr w14:paraId="7CDF0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87" w:type="pct"/>
                  <w:vMerge w:val="restart"/>
                  <w:tcBorders>
                    <w:tl2br w:val="nil"/>
                    <w:tr2bl w:val="nil"/>
                  </w:tcBorders>
                  <w:noWrap w:val="0"/>
                  <w:vAlign w:val="center"/>
                </w:tcPr>
                <w:p w14:paraId="5BEAB150">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挤出</w:t>
                  </w:r>
                </w:p>
              </w:tc>
              <w:tc>
                <w:tcPr>
                  <w:tcW w:w="772" w:type="pct"/>
                  <w:vMerge w:val="restart"/>
                  <w:tcBorders>
                    <w:tl2br w:val="nil"/>
                    <w:tr2bl w:val="nil"/>
                  </w:tcBorders>
                  <w:noWrap w:val="0"/>
                  <w:vAlign w:val="center"/>
                </w:tcPr>
                <w:p w14:paraId="12B85E6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PVC</w:t>
                  </w:r>
                </w:p>
              </w:tc>
              <w:tc>
                <w:tcPr>
                  <w:tcW w:w="1064" w:type="dxa"/>
                  <w:vMerge w:val="restart"/>
                  <w:tcBorders>
                    <w:tl2br w:val="nil"/>
                    <w:tr2bl w:val="nil"/>
                  </w:tcBorders>
                  <w:noWrap w:val="0"/>
                  <w:vAlign w:val="center"/>
                </w:tcPr>
                <w:p w14:paraId="3155E2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1335" w:type="dxa"/>
                  <w:vMerge w:val="restart"/>
                  <w:tcBorders>
                    <w:tl2br w:val="nil"/>
                    <w:tr2bl w:val="nil"/>
                  </w:tcBorders>
                  <w:noWrap w:val="0"/>
                  <w:vAlign w:val="center"/>
                </w:tcPr>
                <w:p w14:paraId="456D4D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rPr>
                    <w:t>0.35kg/t原料</w:t>
                  </w:r>
                </w:p>
              </w:tc>
              <w:tc>
                <w:tcPr>
                  <w:tcW w:w="1533" w:type="dxa"/>
                  <w:vMerge w:val="restart"/>
                  <w:tcBorders>
                    <w:tl2br w:val="nil"/>
                    <w:tr2bl w:val="nil"/>
                  </w:tcBorders>
                  <w:noWrap w:val="0"/>
                  <w:vAlign w:val="center"/>
                </w:tcPr>
                <w:p w14:paraId="76185B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0.14</w:t>
                  </w:r>
                </w:p>
              </w:tc>
              <w:tc>
                <w:tcPr>
                  <w:tcW w:w="370" w:type="pct"/>
                  <w:vMerge w:val="restart"/>
                  <w:tcBorders>
                    <w:tl2br w:val="nil"/>
                    <w:tr2bl w:val="nil"/>
                  </w:tcBorders>
                  <w:noWrap w:val="0"/>
                  <w:vAlign w:val="center"/>
                </w:tcPr>
                <w:p w14:paraId="2C1BA82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废气</w:t>
                  </w:r>
                </w:p>
              </w:tc>
              <w:tc>
                <w:tcPr>
                  <w:tcW w:w="629" w:type="pct"/>
                  <w:tcBorders>
                    <w:tl2br w:val="nil"/>
                    <w:tr2bl w:val="nil"/>
                  </w:tcBorders>
                  <w:noWrap w:val="0"/>
                  <w:vAlign w:val="center"/>
                </w:tcPr>
                <w:p w14:paraId="4B4EF38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有组织</w:t>
                  </w:r>
                </w:p>
              </w:tc>
              <w:tc>
                <w:tcPr>
                  <w:tcW w:w="709" w:type="pct"/>
                  <w:tcBorders>
                    <w:tl2br w:val="nil"/>
                    <w:tr2bl w:val="nil"/>
                  </w:tcBorders>
                  <w:noWrap w:val="0"/>
                  <w:vAlign w:val="center"/>
                </w:tcPr>
                <w:p w14:paraId="21CCB35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w:t>
                  </w:r>
                  <w:r>
                    <w:rPr>
                      <w:rFonts w:hint="eastAsia" w:cs="Times New Roman"/>
                      <w:b w:val="0"/>
                      <w:bCs w:val="0"/>
                      <w:color w:val="auto"/>
                      <w:sz w:val="21"/>
                      <w:szCs w:val="21"/>
                      <w:vertAlign w:val="baseline"/>
                      <w:lang w:val="en-US" w:eastAsia="zh-CN"/>
                    </w:rPr>
                    <w:t>3</w:t>
                  </w:r>
                </w:p>
              </w:tc>
            </w:tr>
            <w:tr w14:paraId="02613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87" w:type="pct"/>
                  <w:vMerge w:val="continue"/>
                  <w:tcBorders>
                    <w:tl2br w:val="nil"/>
                    <w:tr2bl w:val="nil"/>
                  </w:tcBorders>
                  <w:noWrap w:val="0"/>
                  <w:vAlign w:val="center"/>
                </w:tcPr>
                <w:p w14:paraId="4FCE5B5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772" w:type="pct"/>
                  <w:vMerge w:val="continue"/>
                  <w:tcBorders>
                    <w:tl2br w:val="nil"/>
                    <w:tr2bl w:val="nil"/>
                  </w:tcBorders>
                  <w:noWrap w:val="0"/>
                  <w:vAlign w:val="center"/>
                </w:tcPr>
                <w:p w14:paraId="6FE0EF30">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576" w:type="pct"/>
                  <w:vMerge w:val="continue"/>
                  <w:tcBorders>
                    <w:tl2br w:val="nil"/>
                    <w:tr2bl w:val="nil"/>
                  </w:tcBorders>
                  <w:noWrap w:val="0"/>
                  <w:vAlign w:val="center"/>
                </w:tcPr>
                <w:p w14:paraId="0449B7BC">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723" w:type="pct"/>
                  <w:vMerge w:val="continue"/>
                  <w:tcBorders>
                    <w:tl2br w:val="nil"/>
                    <w:tr2bl w:val="nil"/>
                  </w:tcBorders>
                  <w:noWrap w:val="0"/>
                  <w:vAlign w:val="center"/>
                </w:tcPr>
                <w:p w14:paraId="66B6A2C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830" w:type="pct"/>
                  <w:vMerge w:val="continue"/>
                  <w:tcBorders>
                    <w:tl2br w:val="nil"/>
                    <w:tr2bl w:val="nil"/>
                  </w:tcBorders>
                  <w:noWrap w:val="0"/>
                  <w:vAlign w:val="center"/>
                </w:tcPr>
                <w:p w14:paraId="1123A4E7">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370" w:type="pct"/>
                  <w:vMerge w:val="continue"/>
                  <w:tcBorders>
                    <w:tl2br w:val="nil"/>
                    <w:tr2bl w:val="nil"/>
                  </w:tcBorders>
                  <w:noWrap w:val="0"/>
                  <w:vAlign w:val="center"/>
                </w:tcPr>
                <w:p w14:paraId="1E82FD2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629" w:type="pct"/>
                  <w:tcBorders>
                    <w:tl2br w:val="nil"/>
                    <w:tr2bl w:val="nil"/>
                  </w:tcBorders>
                  <w:noWrap w:val="0"/>
                  <w:vAlign w:val="center"/>
                </w:tcPr>
                <w:p w14:paraId="417BEDF2">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无组织</w:t>
                  </w:r>
                </w:p>
              </w:tc>
              <w:tc>
                <w:tcPr>
                  <w:tcW w:w="709" w:type="pct"/>
                  <w:tcBorders>
                    <w:tl2br w:val="nil"/>
                    <w:tr2bl w:val="nil"/>
                  </w:tcBorders>
                  <w:noWrap w:val="0"/>
                  <w:vAlign w:val="center"/>
                </w:tcPr>
                <w:p w14:paraId="33250ACE">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0.02</w:t>
                  </w:r>
                </w:p>
              </w:tc>
            </w:tr>
            <w:tr w14:paraId="72B48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87" w:type="pct"/>
                  <w:vMerge w:val="continue"/>
                  <w:tcBorders>
                    <w:tl2br w:val="nil"/>
                    <w:tr2bl w:val="nil"/>
                  </w:tcBorders>
                  <w:noWrap w:val="0"/>
                  <w:vAlign w:val="center"/>
                </w:tcPr>
                <w:p w14:paraId="60E95C28">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772" w:type="pct"/>
                  <w:vMerge w:val="restart"/>
                  <w:tcBorders>
                    <w:tl2br w:val="nil"/>
                    <w:tr2bl w:val="nil"/>
                  </w:tcBorders>
                  <w:noWrap w:val="0"/>
                  <w:vAlign w:val="center"/>
                </w:tcPr>
                <w:p w14:paraId="79BF1549">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环氧大豆油</w:t>
                  </w:r>
                </w:p>
              </w:tc>
              <w:tc>
                <w:tcPr>
                  <w:tcW w:w="1064" w:type="dxa"/>
                  <w:vMerge w:val="restart"/>
                  <w:tcBorders>
                    <w:tl2br w:val="nil"/>
                    <w:tr2bl w:val="nil"/>
                  </w:tcBorders>
                  <w:noWrap w:val="0"/>
                  <w:vAlign w:val="center"/>
                </w:tcPr>
                <w:p w14:paraId="3E5F25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4</w:t>
                  </w:r>
                </w:p>
              </w:tc>
              <w:tc>
                <w:tcPr>
                  <w:tcW w:w="1335" w:type="dxa"/>
                  <w:vMerge w:val="restart"/>
                  <w:tcBorders>
                    <w:tl2br w:val="nil"/>
                    <w:tr2bl w:val="nil"/>
                  </w:tcBorders>
                  <w:noWrap w:val="0"/>
                  <w:vAlign w:val="center"/>
                </w:tcPr>
                <w:p w14:paraId="56457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1533" w:type="dxa"/>
                  <w:vMerge w:val="restart"/>
                  <w:tcBorders>
                    <w:tl2br w:val="nil"/>
                    <w:tr2bl w:val="nil"/>
                  </w:tcBorders>
                  <w:noWrap w:val="0"/>
                  <w:vAlign w:val="center"/>
                </w:tcPr>
                <w:p w14:paraId="01D08D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0.1</w:t>
                  </w:r>
                  <w:r>
                    <w:rPr>
                      <w:rFonts w:hint="eastAsia" w:cs="Times New Roman"/>
                      <w:color w:val="auto"/>
                      <w:sz w:val="21"/>
                      <w:szCs w:val="21"/>
                      <w:lang w:val="en-US" w:eastAsia="zh-CN"/>
                    </w:rPr>
                    <w:t>1</w:t>
                  </w:r>
                </w:p>
              </w:tc>
              <w:tc>
                <w:tcPr>
                  <w:tcW w:w="1000" w:type="pct"/>
                  <w:gridSpan w:val="2"/>
                  <w:vMerge w:val="restart"/>
                  <w:tcBorders>
                    <w:tl2br w:val="nil"/>
                    <w:tr2bl w:val="nil"/>
                  </w:tcBorders>
                  <w:noWrap w:val="0"/>
                  <w:vAlign w:val="center"/>
                </w:tcPr>
                <w:p w14:paraId="2B3CD6D0">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危废：进入废活性炭</w:t>
                  </w:r>
                </w:p>
              </w:tc>
              <w:tc>
                <w:tcPr>
                  <w:tcW w:w="709" w:type="pct"/>
                  <w:vMerge w:val="restart"/>
                  <w:tcBorders>
                    <w:tl2br w:val="nil"/>
                    <w:tr2bl w:val="nil"/>
                  </w:tcBorders>
                  <w:noWrap w:val="0"/>
                  <w:vAlign w:val="center"/>
                </w:tcPr>
                <w:p w14:paraId="569B4896">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0.20</w:t>
                  </w:r>
                </w:p>
              </w:tc>
            </w:tr>
            <w:tr w14:paraId="487A1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87" w:type="pct"/>
                  <w:vMerge w:val="continue"/>
                  <w:tcBorders>
                    <w:tl2br w:val="nil"/>
                    <w:tr2bl w:val="nil"/>
                  </w:tcBorders>
                  <w:noWrap w:val="0"/>
                  <w:vAlign w:val="center"/>
                </w:tcPr>
                <w:p w14:paraId="5EA94612">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772" w:type="pct"/>
                  <w:vMerge w:val="continue"/>
                  <w:tcBorders>
                    <w:tl2br w:val="nil"/>
                    <w:tr2bl w:val="nil"/>
                  </w:tcBorders>
                  <w:noWrap w:val="0"/>
                  <w:vAlign w:val="center"/>
                </w:tcPr>
                <w:p w14:paraId="52996F36">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576" w:type="pct"/>
                  <w:vMerge w:val="continue"/>
                  <w:tcBorders>
                    <w:tl2br w:val="nil"/>
                    <w:tr2bl w:val="nil"/>
                  </w:tcBorders>
                  <w:noWrap w:val="0"/>
                  <w:vAlign w:val="center"/>
                </w:tcPr>
                <w:p w14:paraId="23531C68">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723" w:type="pct"/>
                  <w:vMerge w:val="continue"/>
                  <w:tcBorders>
                    <w:tl2br w:val="nil"/>
                    <w:tr2bl w:val="nil"/>
                  </w:tcBorders>
                  <w:noWrap w:val="0"/>
                  <w:vAlign w:val="center"/>
                </w:tcPr>
                <w:p w14:paraId="413088B0">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830" w:type="pct"/>
                  <w:vMerge w:val="continue"/>
                  <w:tcBorders>
                    <w:tl2br w:val="nil"/>
                    <w:tr2bl w:val="nil"/>
                  </w:tcBorders>
                  <w:noWrap w:val="0"/>
                  <w:vAlign w:val="center"/>
                </w:tcPr>
                <w:p w14:paraId="69847CB3">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00" w:type="pct"/>
                  <w:gridSpan w:val="2"/>
                  <w:vMerge w:val="continue"/>
                  <w:tcBorders>
                    <w:tl2br w:val="nil"/>
                    <w:tr2bl w:val="nil"/>
                  </w:tcBorders>
                  <w:noWrap w:val="0"/>
                  <w:vAlign w:val="center"/>
                </w:tcPr>
                <w:p w14:paraId="67EFBB2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709" w:type="pct"/>
                  <w:vMerge w:val="continue"/>
                  <w:tcBorders>
                    <w:tl2br w:val="nil"/>
                    <w:tr2bl w:val="nil"/>
                  </w:tcBorders>
                  <w:noWrap w:val="0"/>
                  <w:vAlign w:val="center"/>
                </w:tcPr>
                <w:p w14:paraId="2A6258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r>
            <w:tr w14:paraId="7BFE3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87" w:type="pct"/>
                  <w:tcBorders>
                    <w:tl2br w:val="nil"/>
                    <w:tr2bl w:val="nil"/>
                  </w:tcBorders>
                  <w:noWrap w:val="0"/>
                  <w:vAlign w:val="center"/>
                </w:tcPr>
                <w:p w14:paraId="21FE7875">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合计</w:t>
                  </w:r>
                </w:p>
              </w:tc>
              <w:tc>
                <w:tcPr>
                  <w:tcW w:w="2071" w:type="pct"/>
                  <w:gridSpan w:val="3"/>
                  <w:tcBorders>
                    <w:tl2br w:val="nil"/>
                    <w:tr2bl w:val="nil"/>
                  </w:tcBorders>
                  <w:noWrap w:val="0"/>
                  <w:vAlign w:val="center"/>
                </w:tcPr>
                <w:p w14:paraId="3488A54A">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830" w:type="pct"/>
                  <w:tcBorders>
                    <w:tl2br w:val="nil"/>
                    <w:tr2bl w:val="nil"/>
                  </w:tcBorders>
                  <w:noWrap w:val="0"/>
                  <w:vAlign w:val="center"/>
                </w:tcPr>
                <w:p w14:paraId="201B104E">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0.2</w:t>
                  </w:r>
                  <w:r>
                    <w:rPr>
                      <w:rFonts w:hint="eastAsia" w:cs="Times New Roman"/>
                      <w:b w:val="0"/>
                      <w:bCs w:val="0"/>
                      <w:color w:val="auto"/>
                      <w:sz w:val="21"/>
                      <w:szCs w:val="21"/>
                      <w:vertAlign w:val="baseline"/>
                      <w:lang w:val="en-US" w:eastAsia="zh-CN"/>
                    </w:rPr>
                    <w:t>5</w:t>
                  </w:r>
                </w:p>
              </w:tc>
              <w:tc>
                <w:tcPr>
                  <w:tcW w:w="1000" w:type="pct"/>
                  <w:gridSpan w:val="2"/>
                  <w:tcBorders>
                    <w:tl2br w:val="nil"/>
                    <w:tr2bl w:val="nil"/>
                  </w:tcBorders>
                  <w:noWrap w:val="0"/>
                  <w:vAlign w:val="center"/>
                </w:tcPr>
                <w:p w14:paraId="26B71B2D">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w:t>
                  </w:r>
                </w:p>
              </w:tc>
              <w:tc>
                <w:tcPr>
                  <w:tcW w:w="709" w:type="pct"/>
                  <w:tcBorders>
                    <w:tl2br w:val="nil"/>
                    <w:tr2bl w:val="nil"/>
                  </w:tcBorders>
                  <w:noWrap w:val="0"/>
                  <w:vAlign w:val="center"/>
                </w:tcPr>
                <w:p w14:paraId="1F58AD3B">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0.2</w:t>
                  </w:r>
                  <w:r>
                    <w:rPr>
                      <w:rFonts w:hint="eastAsia" w:cs="Times New Roman"/>
                      <w:b w:val="0"/>
                      <w:bCs w:val="0"/>
                      <w:color w:val="auto"/>
                      <w:sz w:val="21"/>
                      <w:szCs w:val="21"/>
                      <w:vertAlign w:val="baseline"/>
                      <w:lang w:val="en-US" w:eastAsia="zh-CN"/>
                    </w:rPr>
                    <w:t>5</w:t>
                  </w:r>
                </w:p>
              </w:tc>
            </w:tr>
          </w:tbl>
          <w:p w14:paraId="53FB6AE8">
            <w:pPr>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、厂区平面布置</w:t>
            </w:r>
          </w:p>
          <w:p w14:paraId="18D31C3D">
            <w:pPr>
              <w:spacing w:line="360" w:lineRule="auto"/>
              <w:ind w:firstLine="480"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①项目周边概况</w:t>
            </w:r>
          </w:p>
          <w:p w14:paraId="5231E901">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建设项目选址位于</w:t>
            </w:r>
            <w:r>
              <w:rPr>
                <w:rFonts w:hint="default" w:ascii="Times New Roman" w:hAnsi="Times New Roman" w:eastAsia="宋体" w:cs="Times New Roman"/>
                <w:color w:val="auto"/>
                <w:sz w:val="24"/>
                <w:lang w:eastAsia="zh-CN"/>
              </w:rPr>
              <w:t>江苏省常州市金坛区儒林镇儒园路1号</w:t>
            </w:r>
            <w:r>
              <w:rPr>
                <w:rFonts w:hint="default" w:ascii="Times New Roman" w:hAnsi="Times New Roman" w:eastAsia="宋体" w:cs="Times New Roman"/>
                <w:color w:val="auto"/>
                <w:sz w:val="24"/>
                <w:lang w:val="en-US" w:eastAsia="zh-CN"/>
              </w:rPr>
              <w:t>-金桂园1幢，租用洪帮新能源技术有限公司</w:t>
            </w:r>
            <w:r>
              <w:rPr>
                <w:rFonts w:hint="eastAsia" w:cs="Times New Roman"/>
                <w:color w:val="auto"/>
                <w:sz w:val="24"/>
                <w:lang w:val="en-US" w:eastAsia="zh-CN"/>
              </w:rPr>
              <w:t>（即</w:t>
            </w:r>
            <w:r>
              <w:rPr>
                <w:rFonts w:hint="eastAsia" w:cs="Times New Roman"/>
                <w:bCs/>
                <w:color w:val="auto"/>
                <w:sz w:val="24"/>
                <w:szCs w:val="24"/>
                <w:lang w:eastAsia="zh-CN"/>
              </w:rPr>
              <w:t>洪邦新能源产业园</w:t>
            </w:r>
            <w:r>
              <w:rPr>
                <w:rFonts w:hint="eastAsia" w:cs="Times New Roman"/>
                <w:color w:val="auto"/>
                <w:sz w:val="24"/>
                <w:lang w:val="en-US" w:eastAsia="zh-CN"/>
              </w:rPr>
              <w:t>）</w:t>
            </w:r>
            <w:r>
              <w:rPr>
                <w:rFonts w:hint="default" w:ascii="Times New Roman" w:hAnsi="Times New Roman" w:eastAsia="宋体" w:cs="Times New Roman"/>
                <w:bCs/>
                <w:color w:val="auto"/>
                <w:sz w:val="24"/>
                <w:szCs w:val="24"/>
                <w:lang w:val="en-US" w:eastAsia="zh-CN"/>
              </w:rPr>
              <w:t>现有厂房</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厂区所在园区</w:t>
            </w:r>
            <w:r>
              <w:rPr>
                <w:rFonts w:hint="default" w:ascii="Times New Roman" w:hAnsi="Times New Roman" w:eastAsia="宋体" w:cs="Times New Roman"/>
                <w:bCs/>
                <w:color w:val="auto"/>
                <w:sz w:val="24"/>
                <w:szCs w:val="24"/>
                <w:lang w:val="en-US" w:eastAsia="zh-CN"/>
              </w:rPr>
              <w:t>东侧</w:t>
            </w:r>
            <w:r>
              <w:rPr>
                <w:rFonts w:hint="default" w:ascii="Times New Roman" w:hAnsi="Times New Roman" w:eastAsia="宋体" w:cs="Times New Roman"/>
                <w:bCs/>
                <w:color w:val="auto"/>
                <w:sz w:val="24"/>
                <w:szCs w:val="24"/>
              </w:rPr>
              <w:t>为</w:t>
            </w:r>
            <w:r>
              <w:rPr>
                <w:rFonts w:hint="default" w:ascii="Times New Roman" w:hAnsi="Times New Roman" w:eastAsia="宋体" w:cs="Times New Roman"/>
                <w:bCs/>
                <w:color w:val="auto"/>
                <w:sz w:val="24"/>
                <w:szCs w:val="24"/>
                <w:lang w:val="en-US" w:eastAsia="zh-CN"/>
              </w:rPr>
              <w:t>长丰路，隔路为空地</w:t>
            </w:r>
            <w:r>
              <w:rPr>
                <w:rFonts w:hint="default" w:ascii="Times New Roman" w:hAnsi="Times New Roman" w:eastAsia="宋体" w:cs="Times New Roman"/>
                <w:bCs/>
                <w:color w:val="auto"/>
                <w:sz w:val="24"/>
                <w:szCs w:val="24"/>
              </w:rPr>
              <w:t>；南侧为</w:t>
            </w:r>
            <w:r>
              <w:rPr>
                <w:rFonts w:hint="default" w:ascii="Times New Roman" w:hAnsi="Times New Roman" w:eastAsia="宋体" w:cs="Times New Roman"/>
                <w:bCs/>
                <w:color w:val="auto"/>
                <w:sz w:val="24"/>
                <w:szCs w:val="24"/>
                <w:lang w:val="en-US" w:eastAsia="zh-CN"/>
              </w:rPr>
              <w:t>儒园路，隔路为空地</w:t>
            </w:r>
            <w:r>
              <w:rPr>
                <w:rFonts w:hint="default" w:ascii="Times New Roman" w:hAnsi="Times New Roman" w:eastAsia="宋体" w:cs="Times New Roman"/>
                <w:bCs/>
                <w:color w:val="auto"/>
                <w:sz w:val="24"/>
                <w:szCs w:val="24"/>
              </w:rPr>
              <w:t>；西侧为</w:t>
            </w:r>
            <w:r>
              <w:rPr>
                <w:rFonts w:hint="default" w:ascii="Times New Roman" w:hAnsi="Times New Roman" w:eastAsia="宋体" w:cs="Times New Roman"/>
                <w:bCs/>
                <w:color w:val="auto"/>
                <w:sz w:val="24"/>
                <w:szCs w:val="24"/>
                <w:lang w:val="en-US" w:eastAsia="zh-CN"/>
              </w:rPr>
              <w:t>S240辅路，隔路为江苏环宇弹簧有限公司</w:t>
            </w:r>
            <w:r>
              <w:rPr>
                <w:rFonts w:hint="default" w:ascii="Times New Roman" w:hAnsi="Times New Roman" w:eastAsia="宋体" w:cs="Times New Roman"/>
                <w:bCs/>
                <w:color w:val="auto"/>
                <w:sz w:val="24"/>
                <w:szCs w:val="24"/>
              </w:rPr>
              <w:t>；北侧为</w:t>
            </w:r>
            <w:r>
              <w:rPr>
                <w:rFonts w:hint="default" w:ascii="Times New Roman" w:hAnsi="Times New Roman" w:eastAsia="宋体" w:cs="Times New Roman"/>
                <w:bCs/>
                <w:color w:val="auto"/>
                <w:sz w:val="24"/>
                <w:szCs w:val="24"/>
                <w:lang w:val="en-US" w:eastAsia="zh-CN"/>
              </w:rPr>
              <w:t>常瑞路，隔路为空地</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lang w:val="en-US" w:eastAsia="zh-CN"/>
              </w:rPr>
              <w:t>本项目500m范围内无环境保护目标</w:t>
            </w:r>
            <w:r>
              <w:rPr>
                <w:rFonts w:hint="default" w:ascii="Times New Roman" w:hAnsi="Times New Roman" w:eastAsia="宋体" w:cs="Times New Roman"/>
                <w:color w:val="auto"/>
                <w:sz w:val="24"/>
              </w:rPr>
              <w:t>。项目周边概况图详见附图2。</w:t>
            </w:r>
          </w:p>
          <w:p w14:paraId="4EC12358">
            <w:pPr>
              <w:ind w:firstLine="42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val="en-US" w:eastAsia="zh-CN"/>
              </w:rPr>
              <w:t>建设项目所在生产车间建筑面积1200m²，</w:t>
            </w:r>
            <w:r>
              <w:rPr>
                <w:rFonts w:hint="default" w:ascii="Times New Roman" w:hAnsi="Times New Roman" w:eastAsia="宋体" w:cs="Times New Roman"/>
                <w:bCs/>
                <w:color w:val="auto"/>
                <w:sz w:val="24"/>
                <w:szCs w:val="24"/>
                <w:highlight w:val="none"/>
                <w:lang w:val="en-US" w:eastAsia="zh-CN"/>
              </w:rPr>
              <w:t>生产车间南侧由西至东为投料区、混料区、原</w:t>
            </w:r>
            <w:r>
              <w:rPr>
                <w:rFonts w:hint="eastAsia" w:cs="Times New Roman"/>
                <w:bCs/>
                <w:color w:val="auto"/>
                <w:sz w:val="24"/>
                <w:szCs w:val="24"/>
                <w:highlight w:val="none"/>
                <w:lang w:val="en-US" w:eastAsia="zh-CN"/>
              </w:rPr>
              <w:t>辅</w:t>
            </w:r>
            <w:r>
              <w:rPr>
                <w:rFonts w:hint="default" w:ascii="Times New Roman" w:hAnsi="Times New Roman" w:eastAsia="宋体" w:cs="Times New Roman"/>
                <w:bCs/>
                <w:color w:val="auto"/>
                <w:sz w:val="24"/>
                <w:szCs w:val="24"/>
                <w:highlight w:val="none"/>
                <w:lang w:val="en-US" w:eastAsia="zh-CN"/>
              </w:rPr>
              <w:t>料堆场、成品堆场，生产车间北侧由西至东为一般固废仓库、挤出冷却区、</w:t>
            </w:r>
            <w:r>
              <w:rPr>
                <w:rFonts w:hint="eastAsia" w:cs="Times New Roman"/>
                <w:bCs/>
                <w:color w:val="auto"/>
                <w:sz w:val="24"/>
                <w:szCs w:val="24"/>
                <w:highlight w:val="none"/>
                <w:lang w:val="en-US" w:eastAsia="zh-CN"/>
              </w:rPr>
              <w:t>烘干区、</w:t>
            </w:r>
            <w:r>
              <w:rPr>
                <w:rFonts w:hint="default" w:ascii="Times New Roman" w:hAnsi="Times New Roman" w:eastAsia="宋体" w:cs="Times New Roman"/>
                <w:bCs/>
                <w:color w:val="auto"/>
                <w:sz w:val="24"/>
                <w:szCs w:val="24"/>
                <w:highlight w:val="none"/>
                <w:lang w:val="en-US" w:eastAsia="zh-CN"/>
              </w:rPr>
              <w:t>整平区、</w:t>
            </w:r>
            <w:r>
              <w:rPr>
                <w:rFonts w:hint="eastAsia" w:cs="Times New Roman"/>
                <w:bCs/>
                <w:color w:val="auto"/>
                <w:sz w:val="24"/>
                <w:szCs w:val="24"/>
                <w:highlight w:val="none"/>
                <w:lang w:val="en-US" w:eastAsia="zh-CN"/>
              </w:rPr>
              <w:t>破碎区、</w:t>
            </w:r>
            <w:r>
              <w:rPr>
                <w:rFonts w:hint="default" w:ascii="Times New Roman" w:hAnsi="Times New Roman" w:eastAsia="宋体" w:cs="Times New Roman"/>
                <w:bCs/>
                <w:color w:val="auto"/>
                <w:sz w:val="24"/>
                <w:szCs w:val="24"/>
                <w:highlight w:val="none"/>
                <w:lang w:val="en-US" w:eastAsia="zh-CN"/>
              </w:rPr>
              <w:t>危废仓库等。</w:t>
            </w:r>
            <w:r>
              <w:rPr>
                <w:rFonts w:hint="eastAsia" w:cs="Times New Roman"/>
                <w:bCs/>
                <w:color w:val="auto"/>
                <w:sz w:val="24"/>
                <w:szCs w:val="24"/>
                <w:highlight w:val="none"/>
                <w:lang w:val="en-US" w:eastAsia="zh-CN"/>
              </w:rPr>
              <w:t>生产车间东侧上方隔层为办公区。</w:t>
            </w:r>
            <w:r>
              <w:rPr>
                <w:rFonts w:hint="default" w:ascii="Times New Roman" w:hAnsi="Times New Roman" w:eastAsia="宋体" w:cs="Times New Roman"/>
                <w:bCs/>
                <w:color w:val="auto"/>
                <w:sz w:val="24"/>
                <w:szCs w:val="24"/>
                <w:highlight w:val="none"/>
                <w:lang w:val="en-US" w:eastAsia="zh-CN"/>
              </w:rPr>
              <w:t>项目</w:t>
            </w:r>
            <w:r>
              <w:rPr>
                <w:rFonts w:hint="default" w:ascii="Times New Roman" w:hAnsi="Times New Roman" w:eastAsia="宋体" w:cs="Times New Roman"/>
                <w:bCs/>
                <w:color w:val="auto"/>
                <w:sz w:val="24"/>
                <w:szCs w:val="24"/>
                <w:highlight w:val="none"/>
              </w:rPr>
              <w:t>厂区及车间平面布置图见附图3。</w:t>
            </w:r>
          </w:p>
          <w:p w14:paraId="2DFF1EBF">
            <w:pPr>
              <w:ind w:firstLine="42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平面布置合理性分析：本项目厂区平面布置，严格执行国家有关标准和规范，储存区和装卸区和道路的布局满足防火间距和安全疏散的要求，满足消防车通行需要、满足防火、防爆等安全生产要求，满足实际需要，便于经营和检修的要求，从满足安全生产和生产经营需要的角度，厂区平面布置是合理的。</w:t>
            </w:r>
          </w:p>
        </w:tc>
      </w:tr>
      <w:tr w14:paraId="6EF1C6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44" w:hRule="atLeast"/>
          <w:jc w:val="center"/>
        </w:trPr>
        <w:tc>
          <w:tcPr>
            <w:tcW w:w="458" w:type="dxa"/>
            <w:noWrap w:val="0"/>
            <w:vAlign w:val="center"/>
          </w:tcPr>
          <w:p w14:paraId="718ADCAC">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工艺流程和产排污环节</w:t>
            </w:r>
          </w:p>
        </w:tc>
        <w:tc>
          <w:tcPr>
            <w:tcW w:w="9464" w:type="dxa"/>
            <w:noWrap w:val="0"/>
            <w:vAlign w:val="center"/>
          </w:tcPr>
          <w:p w14:paraId="5CFC8EFB">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1、施工期</w:t>
            </w:r>
          </w:p>
          <w:p w14:paraId="2C5E2AFF">
            <w:pPr>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本项目位于常州市金坛区</w:t>
            </w:r>
            <w:r>
              <w:rPr>
                <w:rFonts w:hint="default" w:ascii="Times New Roman" w:hAnsi="Times New Roman" w:eastAsia="宋体" w:cs="Times New Roman"/>
                <w:color w:val="auto"/>
                <w:sz w:val="24"/>
                <w:szCs w:val="24"/>
                <w:lang w:eastAsia="zh-CN"/>
              </w:rPr>
              <w:t>儒园路1号</w:t>
            </w:r>
            <w:r>
              <w:rPr>
                <w:rFonts w:hint="default" w:ascii="Times New Roman" w:hAnsi="Times New Roman" w:eastAsia="宋体" w:cs="Times New Roman"/>
                <w:color w:val="auto"/>
                <w:sz w:val="24"/>
                <w:lang w:val="en-US" w:eastAsia="zh-CN"/>
              </w:rPr>
              <w:t>-金桂园1幢</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租用</w:t>
            </w:r>
            <w:r>
              <w:rPr>
                <w:rFonts w:hint="default" w:ascii="Times New Roman" w:hAnsi="Times New Roman" w:eastAsia="宋体" w:cs="Times New Roman"/>
                <w:color w:val="auto"/>
                <w:sz w:val="24"/>
                <w:lang w:val="en-US" w:eastAsia="zh-CN"/>
              </w:rPr>
              <w:t>洪帮新能源技术有限公司</w:t>
            </w:r>
            <w:r>
              <w:rPr>
                <w:rFonts w:hint="eastAsia" w:cs="Times New Roman"/>
                <w:color w:val="auto"/>
                <w:sz w:val="24"/>
                <w:lang w:val="en-US" w:eastAsia="zh-CN"/>
              </w:rPr>
              <w:t>（即</w:t>
            </w:r>
            <w:r>
              <w:rPr>
                <w:rFonts w:hint="eastAsia" w:cs="Times New Roman"/>
                <w:bCs/>
                <w:color w:val="auto"/>
                <w:sz w:val="24"/>
                <w:szCs w:val="24"/>
                <w:lang w:eastAsia="zh-CN"/>
              </w:rPr>
              <w:t>洪邦新能源产业园</w:t>
            </w:r>
            <w:r>
              <w:rPr>
                <w:rFonts w:hint="eastAsia" w:cs="Times New Roman"/>
                <w:color w:val="auto"/>
                <w:sz w:val="24"/>
                <w:lang w:val="en-US" w:eastAsia="zh-CN"/>
              </w:rPr>
              <w:t>）</w:t>
            </w:r>
            <w:r>
              <w:rPr>
                <w:rFonts w:hint="default" w:ascii="Times New Roman" w:hAnsi="Times New Roman" w:eastAsia="宋体" w:cs="Times New Roman"/>
                <w:color w:val="auto"/>
                <w:sz w:val="24"/>
                <w:szCs w:val="24"/>
                <w:lang w:val="en-US" w:eastAsia="zh-CN"/>
              </w:rPr>
              <w:t>现有厂房，建筑面积1200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本项目进行内</w:t>
            </w:r>
            <w:r>
              <w:rPr>
                <w:rFonts w:hint="default" w:ascii="Times New Roman" w:hAnsi="Times New Roman" w:eastAsia="宋体" w:cs="Times New Roman"/>
                <w:b w:val="0"/>
                <w:bCs w:val="0"/>
                <w:color w:val="auto"/>
                <w:sz w:val="24"/>
                <w:szCs w:val="24"/>
                <w:lang w:val="en-US" w:eastAsia="zh-CN"/>
              </w:rPr>
              <w:t>部装修改造</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施工量较小。施工期主要污染为噪声及施工废气，项目施工期较短，随着施工期结束，污染也随之消失，施工期对周围环境影响较小，故不做施工期环境影响分析</w:t>
            </w:r>
            <w:r>
              <w:rPr>
                <w:rFonts w:hint="default" w:ascii="Times New Roman" w:hAnsi="Times New Roman" w:eastAsia="宋体" w:cs="Times New Roman"/>
                <w:b/>
                <w:bCs/>
                <w:color w:val="auto"/>
                <w:sz w:val="24"/>
                <w:szCs w:val="24"/>
              </w:rPr>
              <w:t>。</w:t>
            </w:r>
          </w:p>
          <w:p w14:paraId="1C2B707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2、运营期</w:t>
            </w:r>
          </w:p>
          <w:p w14:paraId="25C95E11">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2.1生产工艺流程及产污环节</w:t>
            </w:r>
          </w:p>
          <w:p w14:paraId="180CDC8A">
            <w:pPr>
              <w:pStyle w:val="2"/>
              <w:ind w:left="0" w:leftChars="0"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color w:val="auto"/>
                <w:sz w:val="24"/>
                <w:szCs w:val="24"/>
                <w:lang w:eastAsia="zh-CN"/>
              </w:rPr>
              <w:drawing>
                <wp:anchor distT="0" distB="0" distL="114300" distR="114300" simplePos="0" relativeHeight="251665408" behindDoc="0" locked="0" layoutInCell="1" allowOverlap="1">
                  <wp:simplePos x="0" y="0"/>
                  <wp:positionH relativeFrom="column">
                    <wp:posOffset>1480185</wp:posOffset>
                  </wp:positionH>
                  <wp:positionV relativeFrom="paragraph">
                    <wp:posOffset>129540</wp:posOffset>
                  </wp:positionV>
                  <wp:extent cx="3088640" cy="4415155"/>
                  <wp:effectExtent l="0" t="0" r="0" b="0"/>
                  <wp:wrapTopAndBottom/>
                  <wp:docPr id="4" name="ECB019B1-382A-4266-B25C-5B523AA43C14-1" descr="C:/Users/29147/AppData/Local/Temp/wps.fdtPY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1" descr="C:/Users/29147/AppData/Local/Temp/wps.fdtPYrwps"/>
                          <pic:cNvPicPr>
                            <a:picLocks noChangeAspect="1"/>
                          </pic:cNvPicPr>
                        </pic:nvPicPr>
                        <pic:blipFill>
                          <a:blip r:embed="rId19"/>
                          <a:stretch>
                            <a:fillRect/>
                          </a:stretch>
                        </pic:blipFill>
                        <pic:spPr>
                          <a:xfrm>
                            <a:off x="0" y="0"/>
                            <a:ext cx="3088640" cy="4415155"/>
                          </a:xfrm>
                          <a:prstGeom prst="rect">
                            <a:avLst/>
                          </a:prstGeom>
                          <a:noFill/>
                          <a:ln>
                            <a:noFill/>
                          </a:ln>
                        </pic:spPr>
                      </pic:pic>
                    </a:graphicData>
                  </a:graphic>
                </wp:anchor>
              </w:drawing>
            </w:r>
            <w:r>
              <w:rPr>
                <w:rFonts w:hint="default" w:ascii="Times New Roman" w:hAnsi="Times New Roman" w:eastAsia="宋体" w:cs="Times New Roman"/>
                <w:b/>
                <w:bCs/>
                <w:color w:val="auto"/>
              </w:rPr>
              <w:t>图2-</w:t>
            </w:r>
            <w:r>
              <w:rPr>
                <w:rFonts w:hint="default"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rPr>
              <w:t xml:space="preserve">  生产工艺流程及产污节点图</w:t>
            </w:r>
          </w:p>
          <w:p w14:paraId="7596D5FA">
            <w:pPr>
              <w:ind w:firstLine="0" w:firstLineChars="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工艺流程简述：</w:t>
            </w:r>
          </w:p>
          <w:p w14:paraId="754221FA">
            <w:pPr>
              <w:spacing w:line="360" w:lineRule="auto"/>
              <w:ind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投料、计量：</w:t>
            </w:r>
            <w:r>
              <w:rPr>
                <w:rFonts w:hint="default" w:ascii="Times New Roman" w:hAnsi="Times New Roman" w:eastAsia="宋体" w:cs="Times New Roman"/>
                <w:b w:val="0"/>
                <w:bCs w:val="0"/>
                <w:color w:val="auto"/>
                <w:sz w:val="24"/>
                <w:lang w:val="en-US" w:eastAsia="zh-CN"/>
              </w:rPr>
              <w:t>人工将外购的PVC、重质碳酸钙、色母、环保热稳定剂按一定比例投入料仓，</w:t>
            </w:r>
            <w:r>
              <w:rPr>
                <w:rFonts w:hint="default"/>
                <w:color w:val="auto"/>
                <w:sz w:val="24"/>
              </w:rPr>
              <w:t>在物料</w:t>
            </w:r>
            <w:r>
              <w:rPr>
                <w:rFonts w:hint="eastAsia"/>
                <w:color w:val="auto"/>
                <w:sz w:val="24"/>
                <w:lang w:val="en-US" w:eastAsia="zh-CN"/>
              </w:rPr>
              <w:t>拆包和</w:t>
            </w:r>
            <w:r>
              <w:rPr>
                <w:rFonts w:hint="default"/>
                <w:color w:val="auto"/>
                <w:sz w:val="24"/>
              </w:rPr>
              <w:t>从包装袋落入投料口的瞬间，会因为冲击和空气夹带产生粉尘</w:t>
            </w:r>
            <w:r>
              <w:rPr>
                <w:rFonts w:hint="eastAsia"/>
                <w:color w:val="auto"/>
                <w:sz w:val="24"/>
                <w:lang w:eastAsia="zh-CN"/>
              </w:rPr>
              <w:t>。</w:t>
            </w:r>
            <w:r>
              <w:rPr>
                <w:rFonts w:hint="eastAsia"/>
                <w:color w:val="auto"/>
                <w:sz w:val="24"/>
                <w:lang w:val="en-US" w:eastAsia="zh-CN"/>
              </w:rPr>
              <w:t>物料进入料仓后</w:t>
            </w:r>
            <w:r>
              <w:rPr>
                <w:rFonts w:hint="default" w:ascii="Times New Roman" w:hAnsi="Times New Roman" w:eastAsia="宋体" w:cs="Times New Roman"/>
                <w:b w:val="0"/>
                <w:bCs w:val="0"/>
                <w:color w:val="auto"/>
                <w:sz w:val="24"/>
                <w:lang w:val="en-US" w:eastAsia="zh-CN"/>
              </w:rPr>
              <w:t>利用管链输送机、气力输送系统真空负压吸料送至计量系统，通过自动计量系统取料，再通过输送管输至搅拌机中</w:t>
            </w:r>
            <w:r>
              <w:rPr>
                <w:rFonts w:hint="eastAsia" w:cs="Times New Roman"/>
                <w:b w:val="0"/>
                <w:bCs w:val="0"/>
                <w:color w:val="auto"/>
                <w:sz w:val="24"/>
                <w:lang w:val="en-US" w:eastAsia="zh-CN"/>
              </w:rPr>
              <w:t>，输送及计量系统是</w:t>
            </w:r>
            <w:r>
              <w:rPr>
                <w:rFonts w:hint="eastAsia"/>
                <w:color w:val="auto"/>
                <w:sz w:val="24"/>
              </w:rPr>
              <w:t>完全密闭的</w:t>
            </w:r>
            <w:r>
              <w:rPr>
                <w:rFonts w:hint="eastAsia"/>
                <w:color w:val="auto"/>
                <w:sz w:val="24"/>
                <w:lang w:eastAsia="zh-CN"/>
              </w:rPr>
              <w:t>，</w:t>
            </w:r>
            <w:r>
              <w:rPr>
                <w:rFonts w:hint="eastAsia"/>
                <w:color w:val="auto"/>
                <w:sz w:val="24"/>
              </w:rPr>
              <w:t>物料转移不</w:t>
            </w:r>
            <w:r>
              <w:rPr>
                <w:rFonts w:hint="eastAsia"/>
                <w:color w:val="auto"/>
                <w:sz w:val="24"/>
                <w:lang w:val="en-US" w:eastAsia="zh-CN"/>
              </w:rPr>
              <w:t>会</w:t>
            </w:r>
            <w:r>
              <w:rPr>
                <w:rFonts w:hint="eastAsia"/>
                <w:color w:val="auto"/>
                <w:sz w:val="24"/>
              </w:rPr>
              <w:t>暴露在环境中</w:t>
            </w:r>
            <w:r>
              <w:rPr>
                <w:rFonts w:hint="eastAsia"/>
                <w:color w:val="auto"/>
                <w:sz w:val="24"/>
                <w:lang w:eastAsia="zh-CN"/>
              </w:rPr>
              <w:t>，</w:t>
            </w:r>
            <w:r>
              <w:rPr>
                <w:rFonts w:hint="eastAsia"/>
                <w:color w:val="auto"/>
                <w:sz w:val="24"/>
                <w:lang w:val="en-US" w:eastAsia="zh-CN"/>
              </w:rPr>
              <w:t>不产生粉尘</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ESO为液体原料，采用吨桶包装，通过自动计量系统直接取料。本项目智能配料称重控制系统为全自动配料，无需人工干预</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PVC、重质碳酸钙、色母和环保热稳定剂投料时有少量粉尘散逸</w:t>
            </w:r>
            <w:r>
              <w:rPr>
                <w:rFonts w:hint="eastAsia" w:cs="Times New Roman"/>
                <w:b w:val="0"/>
                <w:bCs w:val="0"/>
                <w:color w:val="auto"/>
                <w:sz w:val="24"/>
                <w:lang w:val="en-US" w:eastAsia="zh-CN"/>
              </w:rPr>
              <w:t>（含拆包产生的</w:t>
            </w:r>
            <w:r>
              <w:rPr>
                <w:rFonts w:hint="default" w:ascii="Times New Roman" w:hAnsi="Times New Roman" w:eastAsia="宋体" w:cs="Times New Roman"/>
                <w:b w:val="0"/>
                <w:bCs w:val="0"/>
                <w:color w:val="auto"/>
                <w:sz w:val="24"/>
                <w:lang w:val="en-US" w:eastAsia="zh-CN"/>
              </w:rPr>
              <w:t>粉尘</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，此工序会产生投料粉尘G1。</w:t>
            </w:r>
          </w:p>
          <w:p w14:paraId="1843BF2A">
            <w:pPr>
              <w:spacing w:line="360" w:lineRule="auto"/>
              <w:ind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混料：</w:t>
            </w:r>
            <w:r>
              <w:rPr>
                <w:rFonts w:hint="default" w:ascii="Times New Roman" w:hAnsi="Times New Roman" w:eastAsia="宋体" w:cs="Times New Roman"/>
                <w:b w:val="0"/>
                <w:bCs w:val="0"/>
                <w:color w:val="auto"/>
                <w:sz w:val="24"/>
                <w:lang w:val="en-US" w:eastAsia="zh-CN"/>
              </w:rPr>
              <w:t>各种原料按比例输送至搅拌机中进行高速搅拌，使粉料和液态原料相互混合，常温下密闭进行，因此混料过程中无粉尘产生。</w:t>
            </w:r>
          </w:p>
          <w:p w14:paraId="24CEDF80">
            <w:pPr>
              <w:spacing w:line="360" w:lineRule="auto"/>
              <w:ind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加热挤出：</w:t>
            </w:r>
            <w:r>
              <w:rPr>
                <w:rFonts w:hint="default" w:ascii="Times New Roman" w:hAnsi="Times New Roman" w:eastAsia="宋体" w:cs="Times New Roman"/>
                <w:b w:val="0"/>
                <w:bCs w:val="0"/>
                <w:color w:val="auto"/>
                <w:sz w:val="24"/>
                <w:lang w:val="en-US" w:eastAsia="zh-CN"/>
              </w:rPr>
              <w:t>物料在挤出机内通过电加热受热软化（通过温控装置控制加热温度150 ℃左右），利用螺杆旋转加压方式，连续地将塑化好的成型物料从挤出机的机桶中挤出机头模具（不同种类护舷采用不同的模具），挤出过程为简单的物理熔融变化过程。因加热温度控制在213℃的裂解温度条件以下，故无裂解废气产生，仅有部分未聚合的HCl单体在加热过程中会释放出，在生产塑料制品的过程中，由于加入稳定剂，将HCl的产生速率抑制到极低的水平，其</w:t>
            </w:r>
            <w:r>
              <w:rPr>
                <w:rFonts w:hint="eastAsia" w:cs="Times New Roman"/>
                <w:b w:val="0"/>
                <w:bCs w:val="0"/>
                <w:color w:val="auto"/>
                <w:sz w:val="24"/>
                <w:lang w:val="en-US" w:eastAsia="zh-CN"/>
              </w:rPr>
              <w:t>产生的影响极小</w:t>
            </w:r>
            <w:r>
              <w:rPr>
                <w:rFonts w:hint="default" w:ascii="Times New Roman" w:hAnsi="Times New Roman" w:eastAsia="宋体" w:cs="Times New Roman"/>
                <w:b w:val="0"/>
                <w:bCs w:val="0"/>
                <w:color w:val="auto"/>
                <w:sz w:val="24"/>
                <w:lang w:val="en-US" w:eastAsia="zh-CN"/>
              </w:rPr>
              <w:t>。此工序会产生挤出废气G2。</w:t>
            </w:r>
          </w:p>
          <w:p w14:paraId="0FE18A72">
            <w:pPr>
              <w:spacing w:line="360" w:lineRule="auto"/>
              <w:ind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冷却：</w:t>
            </w:r>
            <w:r>
              <w:rPr>
                <w:rFonts w:hint="default" w:ascii="Times New Roman" w:hAnsi="Times New Roman" w:eastAsia="宋体" w:cs="Times New Roman"/>
                <w:b w:val="0"/>
                <w:bCs w:val="0"/>
                <w:color w:val="auto"/>
                <w:sz w:val="24"/>
                <w:lang w:val="en-US" w:eastAsia="zh-CN"/>
              </w:rPr>
              <w:t>产品利用冷却水进行降温冷却定型，</w:t>
            </w:r>
            <w:r>
              <w:rPr>
                <w:rFonts w:hint="eastAsia" w:cs="Times New Roman"/>
                <w:b w:val="0"/>
                <w:bCs w:val="0"/>
                <w:color w:val="auto"/>
                <w:sz w:val="24"/>
                <w:lang w:val="en-US" w:eastAsia="zh-CN"/>
              </w:rPr>
              <w:t>通过喷淋的方式将</w:t>
            </w:r>
            <w:r>
              <w:rPr>
                <w:rFonts w:hint="eastAsia" w:ascii="Times New Roman" w:hAnsi="Times New Roman" w:eastAsia="宋体" w:cs="Times New Roman"/>
                <w:b w:val="0"/>
                <w:bCs w:val="0"/>
                <w:color w:val="auto"/>
                <w:sz w:val="24"/>
                <w:lang w:val="en-US" w:eastAsia="zh-CN"/>
              </w:rPr>
              <w:t>冷却水均匀</w:t>
            </w:r>
            <w:r>
              <w:rPr>
                <w:rFonts w:hint="eastAsia" w:cs="Times New Roman"/>
                <w:b w:val="0"/>
                <w:bCs w:val="0"/>
                <w:color w:val="auto"/>
                <w:sz w:val="24"/>
                <w:lang w:val="en-US" w:eastAsia="zh-CN"/>
              </w:rPr>
              <w:t>喷洒至</w:t>
            </w:r>
            <w:r>
              <w:rPr>
                <w:rFonts w:hint="eastAsia" w:ascii="Times New Roman" w:hAnsi="Times New Roman" w:eastAsia="宋体" w:cs="Times New Roman"/>
                <w:b w:val="0"/>
                <w:bCs w:val="0"/>
                <w:color w:val="auto"/>
                <w:sz w:val="24"/>
                <w:lang w:val="en-US" w:eastAsia="zh-CN"/>
              </w:rPr>
              <w:t>产品</w:t>
            </w:r>
            <w:r>
              <w:rPr>
                <w:rFonts w:hint="eastAsia" w:cs="Times New Roman"/>
                <w:b w:val="0"/>
                <w:bCs w:val="0"/>
                <w:color w:val="auto"/>
                <w:sz w:val="24"/>
                <w:lang w:val="en-US" w:eastAsia="zh-CN"/>
              </w:rPr>
              <w:t>表面</w:t>
            </w:r>
            <w:r>
              <w:rPr>
                <w:rFonts w:hint="default" w:ascii="Times New Roman" w:hAnsi="Times New Roman" w:eastAsia="宋体" w:cs="Times New Roman"/>
                <w:b w:val="0"/>
                <w:bCs w:val="0"/>
                <w:color w:val="auto"/>
                <w:sz w:val="24"/>
                <w:lang w:val="en-US" w:eastAsia="zh-CN"/>
              </w:rPr>
              <w:t>。所用冷却水循环使用，定期</w:t>
            </w:r>
            <w:r>
              <w:rPr>
                <w:rFonts w:hint="eastAsia" w:cs="Times New Roman"/>
                <w:b w:val="0"/>
                <w:bCs w:val="0"/>
                <w:color w:val="auto"/>
                <w:sz w:val="24"/>
                <w:lang w:val="en-US" w:eastAsia="zh-CN"/>
              </w:rPr>
              <w:t>更换，</w:t>
            </w:r>
            <w:r>
              <w:rPr>
                <w:rFonts w:hint="default" w:ascii="Times New Roman" w:hAnsi="Times New Roman" w:eastAsia="宋体" w:cs="Times New Roman"/>
                <w:b w:val="0"/>
                <w:bCs w:val="0"/>
                <w:color w:val="auto"/>
                <w:sz w:val="24"/>
                <w:lang w:val="en-US" w:eastAsia="zh-CN"/>
              </w:rPr>
              <w:t>此工序会产生</w:t>
            </w:r>
            <w:r>
              <w:rPr>
                <w:rFonts w:hint="eastAsia" w:cs="Times New Roman"/>
                <w:b w:val="0"/>
                <w:bCs w:val="0"/>
                <w:color w:val="auto"/>
                <w:sz w:val="24"/>
                <w:lang w:val="en-US" w:eastAsia="zh-CN"/>
              </w:rPr>
              <w:t>冷却废液S1</w:t>
            </w:r>
            <w:r>
              <w:rPr>
                <w:rFonts w:hint="default" w:ascii="Times New Roman" w:hAnsi="Times New Roman" w:eastAsia="宋体" w:cs="Times New Roman"/>
                <w:b w:val="0"/>
                <w:bCs w:val="0"/>
                <w:color w:val="auto"/>
                <w:sz w:val="24"/>
                <w:lang w:val="en-US" w:eastAsia="zh-CN"/>
              </w:rPr>
              <w:t>。</w:t>
            </w:r>
          </w:p>
          <w:p w14:paraId="5ECB08C0">
            <w:pPr>
              <w:spacing w:line="360" w:lineRule="auto"/>
              <w:ind w:firstLine="480" w:firstLineChars="200"/>
              <w:rPr>
                <w:rFonts w:hint="default" w:ascii="Times New Roman" w:hAnsi="Times New Roman" w:eastAsia="宋体" w:cs="Times New Roman"/>
                <w:b w:val="0"/>
                <w:bCs w:val="0"/>
                <w:color w:val="auto"/>
                <w:sz w:val="24"/>
                <w:lang w:val="en-US" w:eastAsia="zh-CN"/>
              </w:rPr>
            </w:pPr>
            <w:r>
              <w:rPr>
                <w:rFonts w:hint="eastAsia" w:cs="Times New Roman"/>
                <w:b/>
                <w:bCs/>
                <w:color w:val="auto"/>
                <w:sz w:val="24"/>
                <w:lang w:val="en-US" w:eastAsia="zh-CN"/>
              </w:rPr>
              <w:t>烘干</w:t>
            </w:r>
            <w:r>
              <w:rPr>
                <w:rFonts w:hint="default" w:ascii="Times New Roman" w:hAnsi="Times New Roman" w:eastAsia="宋体" w:cs="Times New Roman"/>
                <w:b/>
                <w:bCs/>
                <w:color w:val="auto"/>
                <w:sz w:val="24"/>
                <w:lang w:val="en-US" w:eastAsia="zh-CN"/>
              </w:rPr>
              <w:t>：</w:t>
            </w:r>
            <w:r>
              <w:rPr>
                <w:rFonts w:hint="eastAsia" w:cs="Times New Roman"/>
                <w:b w:val="0"/>
                <w:bCs w:val="0"/>
                <w:color w:val="auto"/>
                <w:sz w:val="24"/>
                <w:lang w:val="en-US" w:eastAsia="zh-CN"/>
              </w:rPr>
              <w:t>产品直接冷却后会携带出水分，</w:t>
            </w:r>
            <w:r>
              <w:rPr>
                <w:rFonts w:hint="eastAsia"/>
                <w:b w:val="0"/>
                <w:bCs w:val="0"/>
                <w:color w:val="auto"/>
                <w:sz w:val="24"/>
                <w:szCs w:val="24"/>
                <w:highlight w:val="none"/>
                <w:lang w:val="en-US" w:eastAsia="zh-CN"/>
              </w:rPr>
              <w:t>为去除其附带的微量水分，需对其进行电加热烘干处理。烘干温度设定为80℃，远低于PVC的裂解温度213℃，烘干时间约为10分钟，此过程仅使水分蒸发，不涉及废气产生</w:t>
            </w:r>
            <w:r>
              <w:rPr>
                <w:rFonts w:hint="eastAsia" w:ascii="Times New Roman" w:hAnsi="Times New Roman" w:eastAsia="宋体" w:cs="Times New Roman"/>
                <w:b w:val="0"/>
                <w:bCs w:val="0"/>
                <w:color w:val="auto"/>
                <w:sz w:val="24"/>
                <w:lang w:val="en-US" w:eastAsia="zh-CN"/>
              </w:rPr>
              <w:t xml:space="preserve">。 </w:t>
            </w:r>
          </w:p>
          <w:p w14:paraId="677DF993">
            <w:pPr>
              <w:spacing w:line="360" w:lineRule="auto"/>
              <w:ind w:firstLine="480"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检验：</w:t>
            </w:r>
            <w:r>
              <w:rPr>
                <w:rFonts w:hint="default" w:ascii="Times New Roman" w:hAnsi="Times New Roman" w:eastAsia="宋体" w:cs="Times New Roman"/>
                <w:b w:val="0"/>
                <w:bCs w:val="0"/>
                <w:color w:val="auto"/>
                <w:sz w:val="24"/>
                <w:lang w:val="en-US" w:eastAsia="zh-CN"/>
              </w:rPr>
              <w:t>对产品进行</w:t>
            </w:r>
            <w:r>
              <w:rPr>
                <w:rFonts w:hint="eastAsia" w:cs="Times New Roman"/>
                <w:b w:val="0"/>
                <w:bCs w:val="0"/>
                <w:color w:val="auto"/>
                <w:sz w:val="24"/>
                <w:lang w:val="en-US" w:eastAsia="zh-CN"/>
              </w:rPr>
              <w:t>外观</w:t>
            </w:r>
            <w:r>
              <w:rPr>
                <w:rFonts w:hint="default" w:ascii="Times New Roman" w:hAnsi="Times New Roman" w:eastAsia="宋体" w:cs="Times New Roman"/>
                <w:b w:val="0"/>
                <w:bCs w:val="0"/>
                <w:color w:val="auto"/>
                <w:sz w:val="24"/>
                <w:lang w:val="en-US" w:eastAsia="zh-CN"/>
              </w:rPr>
              <w:t>检验。检验</w:t>
            </w:r>
            <w:r>
              <w:rPr>
                <w:rFonts w:hint="eastAsia" w:cs="Times New Roman"/>
                <w:b w:val="0"/>
                <w:bCs w:val="0"/>
                <w:color w:val="auto"/>
                <w:sz w:val="24"/>
                <w:lang w:val="en-US" w:eastAsia="zh-CN"/>
              </w:rPr>
              <w:t>完</w:t>
            </w:r>
            <w:r>
              <w:rPr>
                <w:rFonts w:hint="default" w:ascii="Times New Roman" w:hAnsi="Times New Roman" w:eastAsia="宋体" w:cs="Times New Roman"/>
                <w:b w:val="0"/>
                <w:bCs w:val="0"/>
                <w:color w:val="auto"/>
                <w:sz w:val="24"/>
                <w:lang w:val="en-US" w:eastAsia="zh-CN"/>
              </w:rPr>
              <w:t>的护舷类产品暂存于成品堆场待出货</w:t>
            </w:r>
            <w:r>
              <w:rPr>
                <w:rFonts w:hint="eastAsia"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检验</w:t>
            </w:r>
            <w:r>
              <w:rPr>
                <w:rFonts w:hint="eastAsia" w:cs="Times New Roman"/>
                <w:b w:val="0"/>
                <w:bCs w:val="0"/>
                <w:color w:val="auto"/>
                <w:sz w:val="24"/>
                <w:lang w:val="en-US" w:eastAsia="zh-CN"/>
              </w:rPr>
              <w:t>完</w:t>
            </w:r>
            <w:r>
              <w:rPr>
                <w:rFonts w:hint="default" w:ascii="Times New Roman" w:hAnsi="Times New Roman" w:eastAsia="宋体" w:cs="Times New Roman"/>
                <w:b w:val="0"/>
                <w:bCs w:val="0"/>
                <w:color w:val="auto"/>
                <w:sz w:val="24"/>
                <w:lang w:val="en-US" w:eastAsia="zh-CN"/>
              </w:rPr>
              <w:t>的甲板类产品</w:t>
            </w:r>
            <w:r>
              <w:rPr>
                <w:rFonts w:hint="eastAsia" w:cs="Times New Roman"/>
                <w:b w:val="0"/>
                <w:bCs w:val="0"/>
                <w:color w:val="auto"/>
                <w:sz w:val="24"/>
                <w:lang w:val="en-US" w:eastAsia="zh-CN"/>
              </w:rPr>
              <w:t>进行下一道处理工序</w:t>
            </w:r>
            <w:r>
              <w:rPr>
                <w:rFonts w:hint="default" w:ascii="Times New Roman" w:hAnsi="Times New Roman" w:eastAsia="宋体" w:cs="Times New Roman"/>
                <w:b w:val="0"/>
                <w:bCs w:val="0"/>
                <w:color w:val="auto"/>
                <w:sz w:val="24"/>
                <w:lang w:val="en-US" w:eastAsia="zh-CN"/>
              </w:rPr>
              <w:t>。此工序会产生不合格品S2。</w:t>
            </w:r>
          </w:p>
          <w:p w14:paraId="5D1F5C58">
            <w:pPr>
              <w:ind w:firstLine="480" w:firstLineChars="200"/>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bCs/>
                <w:color w:val="auto"/>
                <w:sz w:val="24"/>
                <w:lang w:val="en-US" w:eastAsia="zh-CN"/>
              </w:rPr>
              <w:t>破碎：</w:t>
            </w:r>
            <w:r>
              <w:rPr>
                <w:rFonts w:hint="default" w:ascii="Times New Roman" w:hAnsi="Times New Roman" w:eastAsia="宋体" w:cs="Times New Roman"/>
                <w:b w:val="0"/>
                <w:bCs w:val="0"/>
                <w:color w:val="auto"/>
                <w:sz w:val="24"/>
                <w:lang w:val="en-US" w:eastAsia="zh-CN"/>
              </w:rPr>
              <w:t>不合格品放入粉碎机中破碎后重新进行投料，破碎工序在密闭式粉碎机内进行，此工序会产生破碎粉尘G3。</w:t>
            </w:r>
          </w:p>
          <w:p w14:paraId="79C5674B">
            <w:pPr>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sz w:val="24"/>
                <w:lang w:val="en-US" w:eastAsia="zh-CN"/>
              </w:rPr>
              <w:t>整平：</w:t>
            </w:r>
            <w:r>
              <w:rPr>
                <w:rFonts w:hint="default" w:ascii="Times New Roman" w:hAnsi="Times New Roman" w:eastAsia="宋体" w:cs="Times New Roman"/>
                <w:b w:val="0"/>
                <w:bCs w:val="0"/>
                <w:color w:val="auto"/>
                <w:sz w:val="24"/>
                <w:lang w:val="en-US" w:eastAsia="zh-CN"/>
              </w:rPr>
              <w:t>若是生产甲板类产品，则继续对产品进行整平。将产品放入整平机内，通过机械打磨，消除材料的不平度。</w:t>
            </w:r>
            <w:r>
              <w:rPr>
                <w:rFonts w:hint="eastAsia" w:cs="Times New Roman"/>
                <w:b w:val="0"/>
                <w:bCs w:val="0"/>
                <w:color w:val="auto"/>
                <w:sz w:val="24"/>
                <w:szCs w:val="24"/>
                <w:highlight w:val="none"/>
                <w:lang w:val="en-US" w:eastAsia="zh-CN"/>
              </w:rPr>
              <w:t>整平机几乎密闭，仅留有工件进出口。</w:t>
            </w:r>
            <w:r>
              <w:rPr>
                <w:rFonts w:hint="default" w:ascii="Times New Roman" w:hAnsi="Times New Roman" w:eastAsia="宋体" w:cs="Times New Roman"/>
                <w:b w:val="0"/>
                <w:bCs w:val="0"/>
                <w:color w:val="auto"/>
                <w:sz w:val="24"/>
                <w:lang w:val="en-US" w:eastAsia="zh-CN"/>
              </w:rPr>
              <w:t>整平后的甲板类产品暂存于成品堆场待出货。此工序会产生整平粉尘G</w:t>
            </w:r>
            <w:r>
              <w:rPr>
                <w:rFonts w:hint="eastAsia" w:cs="Times New Roman"/>
                <w:b w:val="0"/>
                <w:bCs w:val="0"/>
                <w:color w:val="auto"/>
                <w:sz w:val="24"/>
                <w:lang w:val="en-US" w:eastAsia="zh-CN"/>
              </w:rPr>
              <w:t>4</w:t>
            </w:r>
            <w:r>
              <w:rPr>
                <w:rFonts w:hint="default" w:ascii="Times New Roman" w:hAnsi="Times New Roman" w:eastAsia="宋体" w:cs="Times New Roman"/>
                <w:b w:val="0"/>
                <w:bCs w:val="0"/>
                <w:color w:val="auto"/>
                <w:sz w:val="24"/>
                <w:lang w:val="en-US" w:eastAsia="zh-CN"/>
              </w:rPr>
              <w:t>。</w:t>
            </w:r>
          </w:p>
          <w:p w14:paraId="05E5A1D6">
            <w:pPr>
              <w:ind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lang w:val="en-US" w:eastAsia="zh-CN"/>
              </w:rPr>
              <w:t>2其他产污分析</w:t>
            </w:r>
          </w:p>
          <w:p w14:paraId="5F42535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（1）原辅料使用</w:t>
            </w:r>
          </w:p>
          <w:p w14:paraId="30D5ECE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PVC、重质碳酸钙、环保热稳定剂、色粉等原辅料使用完后有废包装袋S3产生。ESO、齿轮油使用完后有废包装桶S4产生。</w:t>
            </w:r>
          </w:p>
          <w:p w14:paraId="389C59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（2）设备维护保养</w:t>
            </w:r>
          </w:p>
          <w:p w14:paraId="02BBAE5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设备定期进行维护、保养，有废齿轮油S5、</w:t>
            </w:r>
            <w:r>
              <w:rPr>
                <w:rFonts w:hint="eastAsia" w:cs="Times New Roman"/>
                <w:b w:val="0"/>
                <w:bCs w:val="0"/>
                <w:color w:val="auto"/>
                <w:sz w:val="24"/>
                <w:szCs w:val="24"/>
                <w:lang w:val="en-US" w:eastAsia="zh-CN"/>
              </w:rPr>
              <w:t>废抹布手套</w:t>
            </w:r>
            <w:r>
              <w:rPr>
                <w:rFonts w:hint="default" w:ascii="Times New Roman" w:hAnsi="Times New Roman" w:eastAsia="宋体" w:cs="Times New Roman"/>
                <w:b w:val="0"/>
                <w:bCs w:val="0"/>
                <w:color w:val="auto"/>
                <w:sz w:val="24"/>
                <w:szCs w:val="24"/>
                <w:lang w:val="en-US" w:eastAsia="zh-CN"/>
              </w:rPr>
              <w:t>S6产生。</w:t>
            </w:r>
          </w:p>
          <w:p w14:paraId="22F1A37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）环保设施产污情况</w:t>
            </w:r>
          </w:p>
          <w:p w14:paraId="5B878F9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①投料</w:t>
            </w:r>
            <w:r>
              <w:rPr>
                <w:rFonts w:hint="eastAsia" w:cs="Times New Roman"/>
                <w:b w:val="0"/>
                <w:bCs w:val="0"/>
                <w:color w:val="auto"/>
                <w:sz w:val="24"/>
                <w:szCs w:val="24"/>
                <w:lang w:val="en-US" w:eastAsia="zh-CN"/>
              </w:rPr>
              <w:t>工段产生的粉尘和</w:t>
            </w:r>
            <w:r>
              <w:rPr>
                <w:rFonts w:hint="default" w:ascii="Times New Roman" w:hAnsi="Times New Roman" w:eastAsia="宋体" w:cs="Times New Roman"/>
                <w:b w:val="0"/>
                <w:bCs w:val="0"/>
                <w:color w:val="auto"/>
                <w:sz w:val="24"/>
                <w:szCs w:val="24"/>
                <w:lang w:val="en-US" w:eastAsia="zh-CN"/>
              </w:rPr>
              <w:t>加热挤出过程中产生的有机废气经收集后通过</w:t>
            </w:r>
            <w:r>
              <w:rPr>
                <w:rFonts w:hint="eastAsia" w:cs="Times New Roman"/>
                <w:b w:val="0"/>
                <w:bCs w:val="0"/>
                <w:color w:val="auto"/>
                <w:sz w:val="24"/>
                <w:szCs w:val="24"/>
                <w:lang w:val="en-US" w:eastAsia="zh-CN"/>
              </w:rPr>
              <w:t>一套布袋除尘器+</w:t>
            </w:r>
            <w:r>
              <w:rPr>
                <w:rFonts w:hint="default" w:ascii="Times New Roman" w:hAnsi="Times New Roman" w:eastAsia="宋体" w:cs="Times New Roman"/>
                <w:b w:val="0"/>
                <w:bCs w:val="0"/>
                <w:color w:val="auto"/>
                <w:sz w:val="24"/>
                <w:szCs w:val="24"/>
                <w:lang w:val="en-US" w:eastAsia="zh-CN"/>
              </w:rPr>
              <w:t>二级活性炭装置处理，运行过程中会产生废活性炭S7</w:t>
            </w:r>
            <w:r>
              <w:rPr>
                <w:rFonts w:hint="eastAsia" w:cs="Times New Roman"/>
                <w:b w:val="0"/>
                <w:bCs w:val="0"/>
                <w:color w:val="auto"/>
                <w:sz w:val="24"/>
                <w:szCs w:val="24"/>
                <w:lang w:val="en-US" w:eastAsia="zh-CN"/>
              </w:rPr>
              <w:t>、沾染大豆油的废布袋S8、油泥S9</w:t>
            </w:r>
            <w:r>
              <w:rPr>
                <w:rFonts w:hint="default" w:ascii="Times New Roman" w:hAnsi="Times New Roman" w:eastAsia="宋体" w:cs="Times New Roman"/>
                <w:b w:val="0"/>
                <w:bCs w:val="0"/>
                <w:color w:val="auto"/>
                <w:sz w:val="24"/>
                <w:szCs w:val="24"/>
                <w:lang w:val="en-US" w:eastAsia="zh-CN"/>
              </w:rPr>
              <w:t>。</w:t>
            </w:r>
          </w:p>
          <w:p w14:paraId="02375EE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②破碎、整平等过程中产生的颗粒物经收集后通过布袋除尘器处理，运行过程中会产生废布袋S</w:t>
            </w:r>
            <w:r>
              <w:rPr>
                <w:rFonts w:hint="eastAsia"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lang w:val="en-US" w:eastAsia="zh-CN"/>
              </w:rPr>
              <w:t>、收集粉尘S</w:t>
            </w:r>
            <w:r>
              <w:rPr>
                <w:rFonts w:hint="eastAsia" w:cs="Times New Roman"/>
                <w:b w:val="0"/>
                <w:bCs w:val="0"/>
                <w:color w:val="auto"/>
                <w:sz w:val="24"/>
                <w:szCs w:val="24"/>
                <w:lang w:val="en-US" w:eastAsia="zh-CN"/>
              </w:rPr>
              <w:t>11</w:t>
            </w:r>
            <w:r>
              <w:rPr>
                <w:rFonts w:hint="default" w:ascii="Times New Roman" w:hAnsi="Times New Roman" w:eastAsia="宋体" w:cs="Times New Roman"/>
                <w:b w:val="0"/>
                <w:bCs w:val="0"/>
                <w:color w:val="auto"/>
                <w:sz w:val="24"/>
                <w:szCs w:val="24"/>
                <w:lang w:val="en-US" w:eastAsia="zh-CN"/>
              </w:rPr>
              <w:t>。</w:t>
            </w:r>
          </w:p>
          <w:p w14:paraId="4001861F">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本项目主要产污环节</w:t>
            </w:r>
          </w:p>
          <w:p w14:paraId="1344BEB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本项目主要产污环节及排污特征详见表2-</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w:t>
            </w:r>
          </w:p>
          <w:p w14:paraId="5D98D22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eastAsia" w:cs="Times New Roman"/>
                <w:b/>
                <w:bCs/>
                <w:color w:val="auto"/>
                <w:sz w:val="21"/>
                <w:szCs w:val="21"/>
                <w:lang w:val="en-US" w:eastAsia="zh-CN"/>
              </w:rPr>
              <w:t>9</w:t>
            </w:r>
            <w:r>
              <w:rPr>
                <w:rFonts w:hint="default" w:ascii="Times New Roman" w:hAnsi="Times New Roman" w:eastAsia="宋体" w:cs="Times New Roman"/>
                <w:b/>
                <w:bCs/>
                <w:color w:val="auto"/>
                <w:sz w:val="21"/>
                <w:szCs w:val="21"/>
              </w:rPr>
              <w:t xml:space="preserve">  项目主要产污环节及排污特征一览表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702"/>
              <w:gridCol w:w="2136"/>
              <w:gridCol w:w="3991"/>
            </w:tblGrid>
            <w:tr w14:paraId="68428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l2br w:val="nil"/>
                    <w:tr2bl w:val="nil"/>
                  </w:tcBorders>
                  <w:noWrap w:val="0"/>
                  <w:vAlign w:val="center"/>
                </w:tcPr>
                <w:p w14:paraId="7EFCA5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废物类别</w:t>
                  </w:r>
                </w:p>
              </w:tc>
              <w:tc>
                <w:tcPr>
                  <w:tcW w:w="920" w:type="pct"/>
                  <w:tcBorders>
                    <w:tl2br w:val="nil"/>
                    <w:tr2bl w:val="nil"/>
                  </w:tcBorders>
                  <w:noWrap w:val="0"/>
                  <w:vAlign w:val="center"/>
                </w:tcPr>
                <w:p w14:paraId="62F675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val="en-US" w:eastAsia="zh-CN"/>
                    </w:rPr>
                    <w:t>污染源</w:t>
                  </w:r>
                </w:p>
              </w:tc>
              <w:tc>
                <w:tcPr>
                  <w:tcW w:w="1154" w:type="pct"/>
                  <w:tcBorders>
                    <w:tl2br w:val="nil"/>
                    <w:tr2bl w:val="nil"/>
                  </w:tcBorders>
                  <w:noWrap w:val="0"/>
                  <w:vAlign w:val="center"/>
                </w:tcPr>
                <w:p w14:paraId="5EC07C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val="en-US" w:eastAsia="zh-CN"/>
                    </w:rPr>
                    <w:t>主要污染物</w:t>
                  </w:r>
                </w:p>
              </w:tc>
              <w:tc>
                <w:tcPr>
                  <w:tcW w:w="2157" w:type="pct"/>
                  <w:tcBorders>
                    <w:tl2br w:val="nil"/>
                    <w:tr2bl w:val="nil"/>
                  </w:tcBorders>
                  <w:noWrap w:val="0"/>
                  <w:vAlign w:val="center"/>
                </w:tcPr>
                <w:p w14:paraId="52A587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措施及去向</w:t>
                  </w:r>
                </w:p>
              </w:tc>
            </w:tr>
            <w:tr w14:paraId="4987B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vMerge w:val="restart"/>
                  <w:tcBorders>
                    <w:tl2br w:val="nil"/>
                    <w:tr2bl w:val="nil"/>
                  </w:tcBorders>
                  <w:noWrap w:val="0"/>
                  <w:vAlign w:val="center"/>
                </w:tcPr>
                <w:p w14:paraId="39E5A7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920" w:type="pct"/>
                  <w:tcBorders>
                    <w:tl2br w:val="nil"/>
                    <w:tr2bl w:val="nil"/>
                  </w:tcBorders>
                  <w:noWrap w:val="0"/>
                  <w:vAlign w:val="center"/>
                </w:tcPr>
                <w:p w14:paraId="1746BB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投料粉尘</w:t>
                  </w:r>
                  <w:r>
                    <w:rPr>
                      <w:rFonts w:hint="default" w:ascii="Times New Roman" w:hAnsi="Times New Roman" w:eastAsia="宋体" w:cs="Times New Roman"/>
                      <w:color w:val="auto"/>
                      <w:sz w:val="21"/>
                      <w:szCs w:val="21"/>
                    </w:rPr>
                    <w:t>G1</w:t>
                  </w:r>
                </w:p>
              </w:tc>
              <w:tc>
                <w:tcPr>
                  <w:tcW w:w="1154" w:type="pct"/>
                  <w:tcBorders>
                    <w:tl2br w:val="nil"/>
                    <w:tr2bl w:val="nil"/>
                  </w:tcBorders>
                  <w:noWrap w:val="0"/>
                  <w:vAlign w:val="center"/>
                </w:tcPr>
                <w:p w14:paraId="6A95EC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颗粒物</w:t>
                  </w:r>
                </w:p>
              </w:tc>
              <w:tc>
                <w:tcPr>
                  <w:tcW w:w="2157" w:type="pct"/>
                  <w:vMerge w:val="restart"/>
                  <w:tcBorders>
                    <w:tl2br w:val="nil"/>
                    <w:tr2bl w:val="nil"/>
                  </w:tcBorders>
                  <w:noWrap w:val="0"/>
                  <w:vAlign w:val="center"/>
                </w:tcPr>
                <w:p w14:paraId="43DA28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经集气罩收集至“布袋除尘器+二级活性炭吸附</w:t>
                  </w:r>
                  <w:r>
                    <w:rPr>
                      <w:rFonts w:hint="default" w:ascii="Times New Roman" w:hAnsi="Times New Roman" w:eastAsia="宋体" w:cs="Times New Roman"/>
                      <w:color w:val="auto"/>
                      <w:sz w:val="21"/>
                      <w:szCs w:val="21"/>
                    </w:rPr>
                    <w:t>装置</w:t>
                  </w:r>
                  <w:r>
                    <w:rPr>
                      <w:rFonts w:hint="default" w:ascii="Times New Roman" w:hAnsi="Times New Roman" w:eastAsia="宋体" w:cs="Times New Roman"/>
                      <w:color w:val="auto"/>
                      <w:sz w:val="21"/>
                      <w:szCs w:val="21"/>
                      <w:lang w:val="en-US" w:eastAsia="zh-CN"/>
                    </w:rPr>
                    <w:t>”处理后通过18m高DA001排气筒排放</w:t>
                  </w:r>
                </w:p>
              </w:tc>
            </w:tr>
            <w:tr w14:paraId="2C1C2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vMerge w:val="continue"/>
                  <w:tcBorders>
                    <w:tl2br w:val="nil"/>
                    <w:tr2bl w:val="nil"/>
                  </w:tcBorders>
                  <w:noWrap w:val="0"/>
                  <w:vAlign w:val="center"/>
                </w:tcPr>
                <w:p w14:paraId="1AEE6D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54C5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挤出废气G2</w:t>
                  </w:r>
                </w:p>
              </w:tc>
              <w:tc>
                <w:tcPr>
                  <w:tcW w:w="1154" w:type="pct"/>
                  <w:tcBorders>
                    <w:tl2br w:val="nil"/>
                    <w:tr2bl w:val="nil"/>
                  </w:tcBorders>
                  <w:noWrap w:val="0"/>
                  <w:vAlign w:val="center"/>
                </w:tcPr>
                <w:p w14:paraId="55F26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r>
                    <w:rPr>
                      <w:rFonts w:hint="eastAsia" w:cs="Times New Roman"/>
                      <w:color w:val="auto"/>
                      <w:sz w:val="21"/>
                      <w:szCs w:val="21"/>
                      <w:lang w:val="en-US" w:eastAsia="zh-CN"/>
                    </w:rPr>
                    <w:t>氯化氢、氯乙烯</w:t>
                  </w:r>
                </w:p>
              </w:tc>
              <w:tc>
                <w:tcPr>
                  <w:tcW w:w="2157" w:type="pct"/>
                  <w:vMerge w:val="continue"/>
                  <w:tcBorders>
                    <w:tl2br w:val="nil"/>
                    <w:tr2bl w:val="nil"/>
                  </w:tcBorders>
                  <w:noWrap w:val="0"/>
                  <w:vAlign w:val="center"/>
                </w:tcPr>
                <w:p w14:paraId="74EEA1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r>
            <w:tr w14:paraId="7DA29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vMerge w:val="continue"/>
                  <w:tcBorders>
                    <w:tl2br w:val="nil"/>
                    <w:tr2bl w:val="nil"/>
                  </w:tcBorders>
                  <w:noWrap w:val="0"/>
                  <w:vAlign w:val="center"/>
                </w:tcPr>
                <w:p w14:paraId="10EE35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shd w:val="clear" w:color="auto" w:fill="auto"/>
                  <w:noWrap w:val="0"/>
                  <w:vAlign w:val="center"/>
                </w:tcPr>
                <w:p w14:paraId="2551A1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破碎粉尘G3</w:t>
                  </w:r>
                </w:p>
              </w:tc>
              <w:tc>
                <w:tcPr>
                  <w:tcW w:w="1154" w:type="pct"/>
                  <w:tcBorders>
                    <w:tl2br w:val="nil"/>
                    <w:tr2bl w:val="nil"/>
                  </w:tcBorders>
                  <w:shd w:val="clear" w:color="auto" w:fill="auto"/>
                  <w:noWrap w:val="0"/>
                  <w:vAlign w:val="center"/>
                </w:tcPr>
                <w:p w14:paraId="3B5D83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2157" w:type="pct"/>
                  <w:tcBorders>
                    <w:tl2br w:val="nil"/>
                    <w:tr2bl w:val="nil"/>
                  </w:tcBorders>
                  <w:noWrap w:val="0"/>
                  <w:vAlign w:val="center"/>
                </w:tcPr>
                <w:p w14:paraId="168906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设备密闭收集后经自带的布袋除尘器处理后无组织排放</w:t>
                  </w:r>
                </w:p>
              </w:tc>
            </w:tr>
            <w:tr w14:paraId="6B8A8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vMerge w:val="continue"/>
                  <w:tcBorders>
                    <w:tl2br w:val="nil"/>
                    <w:tr2bl w:val="nil"/>
                  </w:tcBorders>
                  <w:noWrap w:val="0"/>
                  <w:vAlign w:val="center"/>
                </w:tcPr>
                <w:p w14:paraId="4B9AAD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shd w:val="clear" w:color="auto" w:fill="auto"/>
                  <w:noWrap w:val="0"/>
                  <w:vAlign w:val="center"/>
                </w:tcPr>
                <w:p w14:paraId="73EFB4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整平粉尘G4</w:t>
                  </w:r>
                </w:p>
              </w:tc>
              <w:tc>
                <w:tcPr>
                  <w:tcW w:w="1154" w:type="pct"/>
                  <w:tcBorders>
                    <w:tl2br w:val="nil"/>
                    <w:tr2bl w:val="nil"/>
                  </w:tcBorders>
                  <w:shd w:val="clear" w:color="auto" w:fill="auto"/>
                  <w:noWrap w:val="0"/>
                  <w:vAlign w:val="center"/>
                </w:tcPr>
                <w:p w14:paraId="7A9AF8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2157" w:type="pct"/>
                  <w:tcBorders>
                    <w:tl2br w:val="nil"/>
                    <w:tr2bl w:val="nil"/>
                  </w:tcBorders>
                  <w:shd w:val="clear" w:color="auto" w:fill="auto"/>
                  <w:noWrap w:val="0"/>
                  <w:vAlign w:val="center"/>
                </w:tcPr>
                <w:p w14:paraId="431507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设备密闭收集后经自带的布袋除尘器处理后无组织排放</w:t>
                  </w:r>
                </w:p>
              </w:tc>
            </w:tr>
            <w:tr w14:paraId="2ABBA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vMerge w:val="continue"/>
                  <w:tcBorders>
                    <w:tl2br w:val="nil"/>
                    <w:tr2bl w:val="nil"/>
                  </w:tcBorders>
                  <w:noWrap w:val="0"/>
                  <w:vAlign w:val="center"/>
                </w:tcPr>
                <w:p w14:paraId="444658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shd w:val="clear" w:color="auto" w:fill="auto"/>
                  <w:noWrap w:val="0"/>
                  <w:vAlign w:val="center"/>
                </w:tcPr>
                <w:p w14:paraId="7C9678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危废仓库废气G5</w:t>
                  </w:r>
                </w:p>
              </w:tc>
              <w:tc>
                <w:tcPr>
                  <w:tcW w:w="1154" w:type="pct"/>
                  <w:tcBorders>
                    <w:tl2br w:val="nil"/>
                    <w:tr2bl w:val="nil"/>
                  </w:tcBorders>
                  <w:shd w:val="clear" w:color="auto" w:fill="auto"/>
                  <w:noWrap w:val="0"/>
                  <w:vAlign w:val="center"/>
                </w:tcPr>
                <w:p w14:paraId="5E637A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非甲烷总烃</w:t>
                  </w:r>
                </w:p>
              </w:tc>
              <w:tc>
                <w:tcPr>
                  <w:tcW w:w="2157" w:type="pct"/>
                  <w:tcBorders>
                    <w:tl2br w:val="nil"/>
                    <w:tr2bl w:val="nil"/>
                  </w:tcBorders>
                  <w:shd w:val="clear" w:color="auto" w:fill="auto"/>
                  <w:noWrap w:val="0"/>
                  <w:vAlign w:val="center"/>
                </w:tcPr>
                <w:p w14:paraId="6F7A4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无组织排放</w:t>
                  </w:r>
                </w:p>
              </w:tc>
            </w:tr>
            <w:tr w14:paraId="23E50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67" w:type="pct"/>
                  <w:tcBorders>
                    <w:tl2br w:val="nil"/>
                    <w:tr2bl w:val="nil"/>
                  </w:tcBorders>
                  <w:noWrap w:val="0"/>
                  <w:vAlign w:val="center"/>
                </w:tcPr>
                <w:p w14:paraId="757012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920" w:type="pct"/>
                  <w:tcBorders>
                    <w:tl2br w:val="nil"/>
                    <w:tr2bl w:val="nil"/>
                  </w:tcBorders>
                  <w:noWrap w:val="0"/>
                  <w:vAlign w:val="center"/>
                </w:tcPr>
                <w:p w14:paraId="313297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154" w:type="pct"/>
                  <w:tcBorders>
                    <w:tl2br w:val="nil"/>
                    <w:tr2bl w:val="nil"/>
                  </w:tcBorders>
                  <w:noWrap w:val="0"/>
                  <w:vAlign w:val="center"/>
                </w:tcPr>
                <w:p w14:paraId="376F36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生活污水</w:t>
                  </w:r>
                </w:p>
              </w:tc>
              <w:tc>
                <w:tcPr>
                  <w:tcW w:w="2157" w:type="pct"/>
                  <w:tcBorders>
                    <w:tl2br w:val="nil"/>
                    <w:tr2bl w:val="nil"/>
                  </w:tcBorders>
                  <w:noWrap w:val="0"/>
                  <w:vAlign w:val="center"/>
                </w:tcPr>
                <w:p w14:paraId="19AD66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接管至</w:t>
                  </w:r>
                  <w:r>
                    <w:rPr>
                      <w:rFonts w:hint="default" w:ascii="Times New Roman" w:hAnsi="Times New Roman" w:eastAsia="宋体" w:cs="Times New Roman"/>
                      <w:color w:val="auto"/>
                      <w:sz w:val="21"/>
                      <w:szCs w:val="21"/>
                      <w:lang w:eastAsia="zh-CN"/>
                    </w:rPr>
                    <w:t>常州金坛儒林污水处理厂</w:t>
                  </w:r>
                  <w:r>
                    <w:rPr>
                      <w:rFonts w:hint="default" w:ascii="Times New Roman" w:hAnsi="Times New Roman" w:eastAsia="宋体" w:cs="Times New Roman"/>
                      <w:color w:val="auto"/>
                      <w:sz w:val="21"/>
                      <w:szCs w:val="21"/>
                    </w:rPr>
                    <w:t>集中处理，处理后尾水排入儒林河</w:t>
                  </w:r>
                </w:p>
              </w:tc>
            </w:tr>
            <w:tr w14:paraId="79799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restart"/>
                  <w:tcBorders>
                    <w:tl2br w:val="nil"/>
                    <w:tr2bl w:val="nil"/>
                  </w:tcBorders>
                  <w:noWrap w:val="0"/>
                  <w:vAlign w:val="center"/>
                </w:tcPr>
                <w:p w14:paraId="6D908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920" w:type="pct"/>
                  <w:tcBorders>
                    <w:tl2br w:val="nil"/>
                    <w:tr2bl w:val="nil"/>
                  </w:tcBorders>
                  <w:noWrap w:val="0"/>
                  <w:vAlign w:val="center"/>
                </w:tcPr>
                <w:p w14:paraId="08E15B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S</w:t>
                  </w:r>
                  <w:r>
                    <w:rPr>
                      <w:rFonts w:hint="default" w:ascii="Times New Roman" w:hAnsi="Times New Roman" w:eastAsia="宋体" w:cs="Times New Roman"/>
                      <w:color w:val="auto"/>
                      <w:sz w:val="21"/>
                      <w:szCs w:val="21"/>
                      <w:lang w:val="en-US" w:eastAsia="zh-CN"/>
                    </w:rPr>
                    <w:t>1</w:t>
                  </w:r>
                </w:p>
              </w:tc>
              <w:tc>
                <w:tcPr>
                  <w:tcW w:w="1154" w:type="pct"/>
                  <w:tcBorders>
                    <w:tl2br w:val="nil"/>
                    <w:tr2bl w:val="nil"/>
                  </w:tcBorders>
                  <w:noWrap w:val="0"/>
                  <w:vAlign w:val="center"/>
                </w:tcPr>
                <w:p w14:paraId="7DA0DB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冷却废液</w:t>
                  </w:r>
                </w:p>
              </w:tc>
              <w:tc>
                <w:tcPr>
                  <w:tcW w:w="2157" w:type="pct"/>
                  <w:tcBorders>
                    <w:tl2br w:val="nil"/>
                    <w:tr2bl w:val="nil"/>
                  </w:tcBorders>
                  <w:noWrap w:val="0"/>
                  <w:vAlign w:val="center"/>
                </w:tcPr>
                <w:p w14:paraId="351692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收集后委托有资质单位处置</w:t>
                  </w:r>
                </w:p>
              </w:tc>
            </w:tr>
            <w:tr w14:paraId="21F22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0A3EDE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66C6D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S2</w:t>
                  </w:r>
                </w:p>
              </w:tc>
              <w:tc>
                <w:tcPr>
                  <w:tcW w:w="1154" w:type="pct"/>
                  <w:tcBorders>
                    <w:tl2br w:val="nil"/>
                    <w:tr2bl w:val="nil"/>
                  </w:tcBorders>
                  <w:noWrap w:val="0"/>
                  <w:vAlign w:val="center"/>
                </w:tcPr>
                <w:p w14:paraId="302F77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不合格品</w:t>
                  </w:r>
                </w:p>
              </w:tc>
              <w:tc>
                <w:tcPr>
                  <w:tcW w:w="2157" w:type="pct"/>
                  <w:tcBorders>
                    <w:tl2br w:val="nil"/>
                    <w:tr2bl w:val="nil"/>
                  </w:tcBorders>
                  <w:noWrap w:val="0"/>
                  <w:vAlign w:val="center"/>
                </w:tcPr>
                <w:p w14:paraId="422373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企业回收利用</w:t>
                  </w:r>
                </w:p>
              </w:tc>
            </w:tr>
            <w:tr w14:paraId="0A687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0C2F7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720104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S3</w:t>
                  </w:r>
                </w:p>
              </w:tc>
              <w:tc>
                <w:tcPr>
                  <w:tcW w:w="1154" w:type="pct"/>
                  <w:tcBorders>
                    <w:tl2br w:val="nil"/>
                    <w:tr2bl w:val="nil"/>
                  </w:tcBorders>
                  <w:noWrap w:val="0"/>
                  <w:vAlign w:val="center"/>
                </w:tcPr>
                <w:p w14:paraId="5B8652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废包装袋</w:t>
                  </w:r>
                </w:p>
              </w:tc>
              <w:tc>
                <w:tcPr>
                  <w:tcW w:w="2157" w:type="pct"/>
                  <w:tcBorders>
                    <w:tl2br w:val="nil"/>
                    <w:tr2bl w:val="nil"/>
                  </w:tcBorders>
                  <w:noWrap w:val="0"/>
                  <w:vAlign w:val="center"/>
                </w:tcPr>
                <w:p w14:paraId="09732E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外售综合利用</w:t>
                  </w:r>
                </w:p>
              </w:tc>
            </w:tr>
            <w:tr w14:paraId="42316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657459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8DED8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S4</w:t>
                  </w:r>
                </w:p>
              </w:tc>
              <w:tc>
                <w:tcPr>
                  <w:tcW w:w="1154" w:type="pct"/>
                  <w:tcBorders>
                    <w:tl2br w:val="nil"/>
                    <w:tr2bl w:val="nil"/>
                  </w:tcBorders>
                  <w:noWrap w:val="0"/>
                  <w:vAlign w:val="center"/>
                </w:tcPr>
                <w:p w14:paraId="01590B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废包装桶</w:t>
                  </w:r>
                </w:p>
              </w:tc>
              <w:tc>
                <w:tcPr>
                  <w:tcW w:w="2157" w:type="pct"/>
                  <w:tcBorders>
                    <w:tl2br w:val="nil"/>
                    <w:tr2bl w:val="nil"/>
                  </w:tcBorders>
                  <w:noWrap w:val="0"/>
                  <w:vAlign w:val="center"/>
                </w:tcPr>
                <w:p w14:paraId="69754C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收集后委托有资质单位处置</w:t>
                  </w:r>
                </w:p>
              </w:tc>
            </w:tr>
            <w:tr w14:paraId="19B3D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7F1562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514F48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S5</w:t>
                  </w:r>
                </w:p>
              </w:tc>
              <w:tc>
                <w:tcPr>
                  <w:tcW w:w="1154" w:type="pct"/>
                  <w:tcBorders>
                    <w:tl2br w:val="nil"/>
                    <w:tr2bl w:val="nil"/>
                  </w:tcBorders>
                  <w:noWrap w:val="0"/>
                  <w:vAlign w:val="center"/>
                </w:tcPr>
                <w:p w14:paraId="777B67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废齿轮油</w:t>
                  </w:r>
                </w:p>
              </w:tc>
              <w:tc>
                <w:tcPr>
                  <w:tcW w:w="2157" w:type="pct"/>
                  <w:tcBorders>
                    <w:tl2br w:val="nil"/>
                    <w:tr2bl w:val="nil"/>
                  </w:tcBorders>
                  <w:noWrap w:val="0"/>
                  <w:vAlign w:val="center"/>
                </w:tcPr>
                <w:p w14:paraId="3613C4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收集后委托有资质单位处置</w:t>
                  </w:r>
                </w:p>
              </w:tc>
            </w:tr>
            <w:tr w14:paraId="575FDA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502611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1E634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S6</w:t>
                  </w:r>
                </w:p>
              </w:tc>
              <w:tc>
                <w:tcPr>
                  <w:tcW w:w="1154" w:type="pct"/>
                  <w:tcBorders>
                    <w:tl2br w:val="nil"/>
                    <w:tr2bl w:val="nil"/>
                  </w:tcBorders>
                  <w:noWrap w:val="0"/>
                  <w:vAlign w:val="center"/>
                </w:tcPr>
                <w:p w14:paraId="1C4752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废抹布手套</w:t>
                  </w:r>
                </w:p>
              </w:tc>
              <w:tc>
                <w:tcPr>
                  <w:tcW w:w="2157" w:type="pct"/>
                  <w:tcBorders>
                    <w:tl2br w:val="nil"/>
                    <w:tr2bl w:val="nil"/>
                  </w:tcBorders>
                  <w:noWrap w:val="0"/>
                  <w:vAlign w:val="center"/>
                </w:tcPr>
                <w:p w14:paraId="434B9D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收集后委托有资质单位处置</w:t>
                  </w:r>
                </w:p>
              </w:tc>
            </w:tr>
            <w:tr w14:paraId="5B7CD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36890C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3BF0DB9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S7</w:t>
                  </w:r>
                </w:p>
              </w:tc>
              <w:tc>
                <w:tcPr>
                  <w:tcW w:w="1154" w:type="pct"/>
                  <w:tcBorders>
                    <w:tl2br w:val="nil"/>
                    <w:tr2bl w:val="nil"/>
                  </w:tcBorders>
                  <w:noWrap w:val="0"/>
                  <w:vAlign w:val="center"/>
                </w:tcPr>
                <w:p w14:paraId="652191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p>
              </w:tc>
              <w:tc>
                <w:tcPr>
                  <w:tcW w:w="2157" w:type="pct"/>
                  <w:tcBorders>
                    <w:tl2br w:val="nil"/>
                    <w:tr2bl w:val="nil"/>
                  </w:tcBorders>
                  <w:noWrap w:val="0"/>
                  <w:vAlign w:val="center"/>
                </w:tcPr>
                <w:p w14:paraId="0230B25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收集后委托有资质单位处置</w:t>
                  </w:r>
                </w:p>
              </w:tc>
            </w:tr>
            <w:tr w14:paraId="4FFD9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3B88FB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7DB62D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S8</w:t>
                  </w:r>
                </w:p>
              </w:tc>
              <w:tc>
                <w:tcPr>
                  <w:tcW w:w="1154" w:type="pct"/>
                  <w:tcBorders>
                    <w:tl2br w:val="nil"/>
                    <w:tr2bl w:val="nil"/>
                  </w:tcBorders>
                  <w:noWrap w:val="0"/>
                  <w:vAlign w:val="center"/>
                </w:tcPr>
                <w:p w14:paraId="317BCF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沾染大豆油的</w:t>
                  </w:r>
                  <w:r>
                    <w:rPr>
                      <w:rFonts w:hint="default" w:ascii="Times New Roman" w:hAnsi="Times New Roman" w:eastAsia="宋体" w:cs="Times New Roman"/>
                      <w:color w:val="auto"/>
                      <w:sz w:val="21"/>
                      <w:szCs w:val="21"/>
                      <w:lang w:val="en-US" w:eastAsia="zh-CN"/>
                    </w:rPr>
                    <w:t>废布袋</w:t>
                  </w:r>
                </w:p>
              </w:tc>
              <w:tc>
                <w:tcPr>
                  <w:tcW w:w="2157" w:type="pct"/>
                  <w:tcBorders>
                    <w:tl2br w:val="nil"/>
                    <w:tr2bl w:val="nil"/>
                  </w:tcBorders>
                  <w:noWrap w:val="0"/>
                  <w:vAlign w:val="center"/>
                </w:tcPr>
                <w:p w14:paraId="6BF7C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收集后委托有资质单位处置</w:t>
                  </w:r>
                </w:p>
              </w:tc>
            </w:tr>
            <w:tr w14:paraId="113A5D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69BBB9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520293A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S9</w:t>
                  </w:r>
                </w:p>
              </w:tc>
              <w:tc>
                <w:tcPr>
                  <w:tcW w:w="1154" w:type="pct"/>
                  <w:tcBorders>
                    <w:tl2br w:val="nil"/>
                    <w:tr2bl w:val="nil"/>
                  </w:tcBorders>
                  <w:noWrap w:val="0"/>
                  <w:vAlign w:val="center"/>
                </w:tcPr>
                <w:p w14:paraId="7D8F67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油泥</w:t>
                  </w:r>
                </w:p>
              </w:tc>
              <w:tc>
                <w:tcPr>
                  <w:tcW w:w="2157" w:type="pct"/>
                  <w:tcBorders>
                    <w:tl2br w:val="nil"/>
                    <w:tr2bl w:val="nil"/>
                  </w:tcBorders>
                  <w:noWrap w:val="0"/>
                  <w:vAlign w:val="center"/>
                </w:tcPr>
                <w:p w14:paraId="0BDF08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收集后委托有资质单位处置</w:t>
                  </w:r>
                </w:p>
              </w:tc>
            </w:tr>
            <w:tr w14:paraId="761C4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3795CD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358F23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S10</w:t>
                  </w:r>
                </w:p>
              </w:tc>
              <w:tc>
                <w:tcPr>
                  <w:tcW w:w="1154" w:type="pct"/>
                  <w:tcBorders>
                    <w:tl2br w:val="nil"/>
                    <w:tr2bl w:val="nil"/>
                  </w:tcBorders>
                  <w:shd w:val="clear" w:color="auto" w:fill="auto"/>
                  <w:noWrap w:val="0"/>
                  <w:vAlign w:val="center"/>
                </w:tcPr>
                <w:p w14:paraId="1271CC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废布袋</w:t>
                  </w:r>
                </w:p>
              </w:tc>
              <w:tc>
                <w:tcPr>
                  <w:tcW w:w="2157" w:type="pct"/>
                  <w:tcBorders>
                    <w:tl2br w:val="nil"/>
                    <w:tr2bl w:val="nil"/>
                  </w:tcBorders>
                  <w:shd w:val="clear" w:color="auto" w:fill="auto"/>
                  <w:noWrap w:val="0"/>
                  <w:vAlign w:val="center"/>
                </w:tcPr>
                <w:p w14:paraId="4EB714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外售综合利用</w:t>
                  </w:r>
                </w:p>
              </w:tc>
            </w:tr>
            <w:tr w14:paraId="641AB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6793F5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CE0C7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S11</w:t>
                  </w:r>
                </w:p>
              </w:tc>
              <w:tc>
                <w:tcPr>
                  <w:tcW w:w="1154" w:type="pct"/>
                  <w:tcBorders>
                    <w:tl2br w:val="nil"/>
                    <w:tr2bl w:val="nil"/>
                  </w:tcBorders>
                  <w:shd w:val="clear" w:color="auto" w:fill="auto"/>
                  <w:noWrap w:val="0"/>
                  <w:vAlign w:val="center"/>
                </w:tcPr>
                <w:p w14:paraId="3CE02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收集粉尘</w:t>
                  </w:r>
                </w:p>
              </w:tc>
              <w:tc>
                <w:tcPr>
                  <w:tcW w:w="2157" w:type="pct"/>
                  <w:tcBorders>
                    <w:tl2br w:val="nil"/>
                    <w:tr2bl w:val="nil"/>
                  </w:tcBorders>
                  <w:shd w:val="clear" w:color="auto" w:fill="auto"/>
                  <w:noWrap w:val="0"/>
                  <w:vAlign w:val="center"/>
                </w:tcPr>
                <w:p w14:paraId="11331B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企业回收利用</w:t>
                  </w:r>
                </w:p>
              </w:tc>
            </w:tr>
            <w:tr w14:paraId="04560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vMerge w:val="continue"/>
                  <w:tcBorders>
                    <w:tl2br w:val="nil"/>
                    <w:tr2bl w:val="nil"/>
                  </w:tcBorders>
                  <w:noWrap w:val="0"/>
                  <w:vAlign w:val="center"/>
                </w:tcPr>
                <w:p w14:paraId="333CC2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920" w:type="pct"/>
                  <w:tcBorders>
                    <w:tl2br w:val="nil"/>
                    <w:tr2bl w:val="nil"/>
                  </w:tcBorders>
                  <w:noWrap w:val="0"/>
                  <w:vAlign w:val="center"/>
                </w:tcPr>
                <w:p w14:paraId="6391D7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54" w:type="pct"/>
                  <w:tcBorders>
                    <w:tl2br w:val="nil"/>
                    <w:tr2bl w:val="nil"/>
                  </w:tcBorders>
                  <w:noWrap w:val="0"/>
                  <w:vAlign w:val="center"/>
                </w:tcPr>
                <w:p w14:paraId="0D44F0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生活垃圾</w:t>
                  </w:r>
                </w:p>
              </w:tc>
              <w:tc>
                <w:tcPr>
                  <w:tcW w:w="2157" w:type="pct"/>
                  <w:tcBorders>
                    <w:tl2br w:val="nil"/>
                    <w:tr2bl w:val="nil"/>
                  </w:tcBorders>
                  <w:noWrap w:val="0"/>
                  <w:vAlign w:val="center"/>
                </w:tcPr>
                <w:p w14:paraId="0CC631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由环卫部门统一清运</w:t>
                  </w:r>
                </w:p>
              </w:tc>
            </w:tr>
          </w:tbl>
          <w:p w14:paraId="2B2A0689">
            <w:pPr>
              <w:rPr>
                <w:rFonts w:hint="default" w:ascii="Times New Roman" w:hAnsi="Times New Roman" w:eastAsia="宋体" w:cs="Times New Roman"/>
                <w:color w:val="auto"/>
                <w:lang w:eastAsia="zh-CN"/>
              </w:rPr>
            </w:pPr>
          </w:p>
        </w:tc>
      </w:tr>
      <w:tr w14:paraId="0C2D38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44" w:hRule="atLeast"/>
          <w:jc w:val="center"/>
        </w:trPr>
        <w:tc>
          <w:tcPr>
            <w:tcW w:w="458" w:type="dxa"/>
            <w:noWrap w:val="0"/>
            <w:vAlign w:val="center"/>
          </w:tcPr>
          <w:p w14:paraId="4420F81B">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color w:val="auto"/>
                <w:sz w:val="24"/>
                <w:highlight w:val="none"/>
              </w:rPr>
              <w:t>与项目有关的原有环境污染问题</w:t>
            </w:r>
          </w:p>
        </w:tc>
        <w:tc>
          <w:tcPr>
            <w:tcW w:w="9464" w:type="dxa"/>
            <w:noWrap w:val="0"/>
            <w:vAlign w:val="center"/>
          </w:tcPr>
          <w:p w14:paraId="2D3C16BA">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default"/>
                <w:color w:val="auto"/>
                <w:sz w:val="24"/>
                <w:szCs w:val="24"/>
                <w:lang w:val="en-US" w:eastAsia="zh-CN"/>
              </w:rPr>
            </w:pPr>
            <w:r>
              <w:rPr>
                <w:rFonts w:hint="eastAsia"/>
                <w:color w:val="auto"/>
                <w:sz w:val="24"/>
                <w:szCs w:val="24"/>
                <w:lang w:val="en-US" w:eastAsia="zh-CN"/>
              </w:rPr>
              <w:t>一、与本项目有关的原有污染情况及主要环境问题</w:t>
            </w:r>
          </w:p>
          <w:p w14:paraId="275B4F45">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default" w:eastAsia="宋体"/>
                <w:color w:val="auto"/>
                <w:sz w:val="24"/>
                <w:szCs w:val="24"/>
                <w:lang w:val="en-US" w:eastAsia="zh-CN"/>
              </w:rPr>
            </w:pPr>
            <w:r>
              <w:rPr>
                <w:rFonts w:hint="eastAsia"/>
                <w:color w:val="auto"/>
                <w:sz w:val="24"/>
                <w:szCs w:val="24"/>
                <w:lang w:val="en-US" w:eastAsia="zh-CN"/>
              </w:rPr>
              <w:t>斐洋船舶配件（常州）有限公司</w:t>
            </w:r>
            <w:r>
              <w:rPr>
                <w:rFonts w:hint="default" w:ascii="Times New Roman" w:hAnsi="Times New Roman" w:eastAsia="宋体" w:cs="Times New Roman"/>
                <w:color w:val="auto"/>
                <w:sz w:val="24"/>
                <w:lang w:val="en-US" w:eastAsia="zh-CN"/>
              </w:rPr>
              <w:t>租用洪帮新能源技术有限公司</w:t>
            </w:r>
            <w:r>
              <w:rPr>
                <w:rFonts w:hint="eastAsia" w:cs="Times New Roman"/>
                <w:color w:val="auto"/>
                <w:sz w:val="24"/>
                <w:lang w:val="en-US" w:eastAsia="zh-CN"/>
              </w:rPr>
              <w:t>（即</w:t>
            </w:r>
            <w:r>
              <w:rPr>
                <w:rFonts w:hint="eastAsia" w:cs="Times New Roman"/>
                <w:bCs/>
                <w:color w:val="auto"/>
                <w:sz w:val="24"/>
                <w:szCs w:val="24"/>
                <w:lang w:eastAsia="zh-CN"/>
              </w:rPr>
              <w:t>洪邦新能源产业园</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现有厂房</w:t>
            </w:r>
            <w:r>
              <w:rPr>
                <w:rFonts w:hint="eastAsia" w:cs="Times New Roman"/>
                <w:color w:val="auto"/>
                <w:sz w:val="24"/>
                <w:lang w:val="en-US" w:eastAsia="zh-CN"/>
              </w:rPr>
              <w:t>金桂园1幢</w:t>
            </w:r>
            <w:r>
              <w:rPr>
                <w:rFonts w:hint="eastAsia" w:cs="Times New Roman"/>
                <w:color w:val="auto"/>
                <w:sz w:val="24"/>
                <w:highlight w:val="none"/>
                <w:lang w:val="en-US" w:eastAsia="zh-CN"/>
              </w:rPr>
              <w:t>，此前该厂房一直处于空置状态，</w:t>
            </w:r>
            <w:r>
              <w:rPr>
                <w:rFonts w:hint="eastAsia"/>
                <w:color w:val="auto"/>
                <w:sz w:val="24"/>
                <w:szCs w:val="24"/>
                <w:lang w:val="en-US" w:eastAsia="zh-CN"/>
              </w:rPr>
              <w:t>因此不存在原有污染源和遗留环境问题。厂区供水、供电等基础设施均已到位，厂区</w:t>
            </w:r>
            <w:r>
              <w:rPr>
                <w:rFonts w:hint="eastAsia"/>
                <w:color w:val="auto"/>
                <w:sz w:val="24"/>
                <w:szCs w:val="24"/>
              </w:rPr>
              <w:t>内已按照“雨污分流、清污分流”的原则进行建设，</w:t>
            </w:r>
            <w:r>
              <w:rPr>
                <w:rFonts w:hint="eastAsia"/>
                <w:color w:val="auto"/>
                <w:sz w:val="24"/>
                <w:szCs w:val="24"/>
                <w:lang w:val="en-US" w:eastAsia="zh-CN"/>
              </w:rPr>
              <w:t>依托园区已</w:t>
            </w:r>
            <w:r>
              <w:rPr>
                <w:rFonts w:hint="eastAsia"/>
                <w:color w:val="auto"/>
                <w:sz w:val="24"/>
                <w:szCs w:val="24"/>
              </w:rPr>
              <w:t>设置一个污水接管口和雨水排口</w:t>
            </w:r>
            <w:r>
              <w:rPr>
                <w:rFonts w:hint="eastAsia"/>
                <w:color w:val="auto"/>
                <w:sz w:val="24"/>
                <w:szCs w:val="24"/>
                <w:lang w:eastAsia="zh-CN"/>
              </w:rPr>
              <w:t>，</w:t>
            </w:r>
            <w:r>
              <w:rPr>
                <w:rFonts w:hint="eastAsia"/>
                <w:color w:val="auto"/>
                <w:sz w:val="24"/>
                <w:szCs w:val="24"/>
                <w:lang w:val="en-US" w:eastAsia="zh-CN"/>
              </w:rPr>
              <w:t>依托园区已设置事故应急池及雨水口切断阀。</w:t>
            </w:r>
          </w:p>
          <w:p w14:paraId="5B914931">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color w:val="auto"/>
                <w:sz w:val="24"/>
                <w:szCs w:val="24"/>
              </w:rPr>
            </w:pPr>
            <w:r>
              <w:rPr>
                <w:rFonts w:hint="eastAsia"/>
                <w:color w:val="auto"/>
                <w:sz w:val="24"/>
                <w:szCs w:val="24"/>
                <w:lang w:val="en-US" w:eastAsia="zh-CN"/>
              </w:rPr>
              <w:t>二、</w:t>
            </w:r>
            <w:r>
              <w:rPr>
                <w:rFonts w:hint="eastAsia"/>
                <w:color w:val="auto"/>
                <w:sz w:val="24"/>
                <w:szCs w:val="24"/>
              </w:rPr>
              <w:t>本项目与</w:t>
            </w:r>
            <w:r>
              <w:rPr>
                <w:rFonts w:hint="default" w:ascii="Times New Roman" w:hAnsi="Times New Roman" w:eastAsia="宋体" w:cs="Times New Roman"/>
                <w:color w:val="auto"/>
                <w:sz w:val="24"/>
                <w:lang w:val="en-US" w:eastAsia="zh-CN"/>
              </w:rPr>
              <w:t>洪帮新能源技术有限公司</w:t>
            </w:r>
            <w:r>
              <w:rPr>
                <w:rFonts w:hint="eastAsia" w:cs="Times New Roman"/>
                <w:color w:val="auto"/>
                <w:sz w:val="24"/>
                <w:lang w:val="en-US" w:eastAsia="zh-CN"/>
              </w:rPr>
              <w:t>（即</w:t>
            </w:r>
            <w:r>
              <w:rPr>
                <w:rFonts w:hint="eastAsia" w:cs="Times New Roman"/>
                <w:bCs/>
                <w:color w:val="auto"/>
                <w:sz w:val="24"/>
                <w:szCs w:val="24"/>
                <w:lang w:eastAsia="zh-CN"/>
              </w:rPr>
              <w:t>洪邦新能源产业园</w:t>
            </w:r>
            <w:r>
              <w:rPr>
                <w:rFonts w:hint="eastAsia" w:cs="Times New Roman"/>
                <w:color w:val="auto"/>
                <w:sz w:val="24"/>
                <w:lang w:val="en-US" w:eastAsia="zh-CN"/>
              </w:rPr>
              <w:t>）</w:t>
            </w:r>
            <w:r>
              <w:rPr>
                <w:rFonts w:hint="eastAsia"/>
                <w:color w:val="auto"/>
                <w:sz w:val="24"/>
                <w:szCs w:val="24"/>
              </w:rPr>
              <w:t>依托关系</w:t>
            </w:r>
          </w:p>
          <w:p w14:paraId="2E221767">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color w:val="auto"/>
                <w:sz w:val="24"/>
                <w:szCs w:val="24"/>
              </w:rPr>
            </w:pPr>
            <w:r>
              <w:rPr>
                <w:rFonts w:hint="eastAsia"/>
                <w:color w:val="auto"/>
                <w:sz w:val="24"/>
                <w:szCs w:val="24"/>
              </w:rPr>
              <w:t>（1）雨污水管网及排放口：本项目依托</w:t>
            </w:r>
            <w:r>
              <w:rPr>
                <w:rFonts w:hint="eastAsia" w:cs="Times New Roman"/>
                <w:color w:val="auto"/>
                <w:sz w:val="24"/>
                <w:highlight w:val="none"/>
                <w:lang w:val="en-US" w:eastAsia="zh-CN"/>
              </w:rPr>
              <w:t>园区</w:t>
            </w:r>
            <w:r>
              <w:rPr>
                <w:rFonts w:hint="eastAsia"/>
                <w:color w:val="auto"/>
                <w:sz w:val="24"/>
                <w:szCs w:val="24"/>
              </w:rPr>
              <w:t>现有雨污水管网及雨水排放口。</w:t>
            </w:r>
          </w:p>
          <w:p w14:paraId="052C466A">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color w:val="auto"/>
                <w:sz w:val="24"/>
                <w:szCs w:val="24"/>
              </w:rPr>
            </w:pPr>
            <w:r>
              <w:rPr>
                <w:rFonts w:hint="eastAsia"/>
                <w:color w:val="auto"/>
                <w:sz w:val="24"/>
                <w:szCs w:val="24"/>
              </w:rPr>
              <w:t>（2）供电：本项目</w:t>
            </w:r>
            <w:r>
              <w:rPr>
                <w:rFonts w:hint="eastAsia"/>
                <w:color w:val="auto"/>
                <w:sz w:val="24"/>
                <w:szCs w:val="24"/>
                <w:lang w:eastAsia="zh-CN"/>
              </w:rPr>
              <w:t>依托园区</w:t>
            </w:r>
            <w:r>
              <w:rPr>
                <w:rFonts w:hint="eastAsia"/>
                <w:color w:val="auto"/>
                <w:sz w:val="24"/>
                <w:szCs w:val="24"/>
              </w:rPr>
              <w:t>供电、配电系统，不改变现有供配电系统。</w:t>
            </w:r>
          </w:p>
          <w:p w14:paraId="0E84BE0F">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color w:val="auto"/>
                <w:sz w:val="24"/>
                <w:szCs w:val="24"/>
              </w:rPr>
            </w:pPr>
            <w:r>
              <w:rPr>
                <w:rFonts w:hint="eastAsia"/>
                <w:color w:val="auto"/>
                <w:sz w:val="24"/>
                <w:szCs w:val="24"/>
              </w:rPr>
              <w:t>（3）给水：本项目</w:t>
            </w:r>
            <w:r>
              <w:rPr>
                <w:rFonts w:hint="eastAsia"/>
                <w:color w:val="auto"/>
                <w:sz w:val="24"/>
                <w:szCs w:val="24"/>
                <w:lang w:eastAsia="zh-CN"/>
              </w:rPr>
              <w:t>依托园区</w:t>
            </w:r>
            <w:r>
              <w:rPr>
                <w:rFonts w:hint="eastAsia"/>
                <w:color w:val="auto"/>
                <w:sz w:val="24"/>
                <w:szCs w:val="24"/>
              </w:rPr>
              <w:t>自来水给水系统。</w:t>
            </w:r>
          </w:p>
          <w:p w14:paraId="70595239">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color w:val="auto"/>
                <w:sz w:val="24"/>
                <w:szCs w:val="24"/>
              </w:rPr>
            </w:pPr>
            <w:r>
              <w:rPr>
                <w:rFonts w:hint="eastAsia"/>
                <w:color w:val="auto"/>
                <w:sz w:val="24"/>
                <w:szCs w:val="24"/>
              </w:rPr>
              <w:t>（4）排水：本项目</w:t>
            </w:r>
            <w:r>
              <w:rPr>
                <w:rFonts w:hint="eastAsia"/>
                <w:color w:val="auto"/>
                <w:sz w:val="24"/>
                <w:szCs w:val="24"/>
                <w:lang w:eastAsia="zh-CN"/>
              </w:rPr>
              <w:t>依托园区</w:t>
            </w:r>
            <w:r>
              <w:rPr>
                <w:rFonts w:hint="eastAsia"/>
                <w:color w:val="auto"/>
                <w:sz w:val="24"/>
                <w:szCs w:val="24"/>
              </w:rPr>
              <w:t>污水收集管网，在厂房管道排入厂区总污水管网前，设置采样口，本项目主要</w:t>
            </w:r>
            <w:r>
              <w:rPr>
                <w:rFonts w:hint="eastAsia"/>
                <w:color w:val="auto"/>
                <w:sz w:val="24"/>
                <w:szCs w:val="24"/>
                <w:lang w:val="en-US" w:eastAsia="zh-CN"/>
              </w:rPr>
              <w:t>外排</w:t>
            </w:r>
            <w:r>
              <w:rPr>
                <w:rFonts w:hint="eastAsia"/>
                <w:color w:val="auto"/>
                <w:sz w:val="24"/>
                <w:szCs w:val="24"/>
              </w:rPr>
              <w:t>废水为员工日常生活污水，</w:t>
            </w:r>
            <w:r>
              <w:rPr>
                <w:rFonts w:hint="eastAsia"/>
                <w:color w:val="auto"/>
                <w:sz w:val="24"/>
                <w:szCs w:val="24"/>
                <w:lang w:val="en-US" w:eastAsia="zh-CN"/>
              </w:rPr>
              <w:t>接管至金坛第二污水处理厂集中处理</w:t>
            </w:r>
            <w:r>
              <w:rPr>
                <w:rFonts w:hint="eastAsia"/>
                <w:color w:val="auto"/>
                <w:sz w:val="24"/>
                <w:szCs w:val="24"/>
              </w:rPr>
              <w:t>；雨水经厂内雨水管网收集后排入附近水体。</w:t>
            </w:r>
          </w:p>
          <w:p w14:paraId="6A875282">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default" w:eastAsia="宋体"/>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5</w:t>
            </w:r>
            <w:r>
              <w:rPr>
                <w:rFonts w:hint="eastAsia"/>
                <w:color w:val="auto"/>
                <w:sz w:val="24"/>
                <w:szCs w:val="24"/>
                <w:lang w:eastAsia="zh-CN"/>
              </w:rPr>
              <w:t>）</w:t>
            </w:r>
            <w:r>
              <w:rPr>
                <w:rFonts w:hint="eastAsia"/>
                <w:color w:val="auto"/>
                <w:sz w:val="24"/>
                <w:szCs w:val="24"/>
                <w:lang w:val="en-US" w:eastAsia="zh-CN"/>
              </w:rPr>
              <w:t>应急：本项目依托园区雨水口切断阀，企业拟建设20m</w:t>
            </w:r>
            <w:r>
              <w:rPr>
                <w:rFonts w:hint="eastAsia"/>
                <w:color w:val="auto"/>
                <w:sz w:val="24"/>
                <w:szCs w:val="24"/>
                <w:vertAlign w:val="superscript"/>
                <w:lang w:val="en-US" w:eastAsia="zh-CN"/>
              </w:rPr>
              <w:t>3</w:t>
            </w:r>
            <w:r>
              <w:rPr>
                <w:rFonts w:hint="eastAsia"/>
                <w:color w:val="auto"/>
                <w:sz w:val="24"/>
                <w:szCs w:val="24"/>
                <w:lang w:val="en-US" w:eastAsia="zh-CN"/>
              </w:rPr>
              <w:t>事故应急桶。</w:t>
            </w:r>
          </w:p>
          <w:p w14:paraId="07938A01">
            <w:pPr>
              <w:pStyle w:val="2"/>
              <w:keepNext w:val="0"/>
              <w:keepLines w:val="0"/>
              <w:pageBreakBefore w:val="0"/>
              <w:widowControl w:val="0"/>
              <w:kinsoku/>
              <w:wordWrap/>
              <w:overflowPunct/>
              <w:topLinePunct w:val="0"/>
              <w:autoSpaceDE/>
              <w:autoSpaceDN/>
              <w:bidi w:val="0"/>
              <w:adjustRightInd/>
              <w:snapToGrid/>
              <w:spacing w:after="0"/>
              <w:ind w:firstLine="420"/>
              <w:textAlignment w:val="auto"/>
              <w:rPr>
                <w:rFonts w:hint="eastAsia" w:eastAsia="宋体"/>
                <w:color w:val="auto"/>
                <w:sz w:val="24"/>
                <w:szCs w:val="24"/>
                <w:lang w:val="en-US" w:eastAsia="zh-CN"/>
              </w:rPr>
            </w:pPr>
            <w:r>
              <w:rPr>
                <w:rFonts w:hint="eastAsia"/>
                <w:color w:val="auto"/>
                <w:sz w:val="24"/>
                <w:szCs w:val="24"/>
              </w:rPr>
              <w:t>本项目生产过程中保持独立，且设置独立的环保工程（主要为废气处理装置、一般固废仓库、危废暂存间），与</w:t>
            </w:r>
            <w:r>
              <w:rPr>
                <w:rFonts w:hint="eastAsia"/>
                <w:color w:val="auto"/>
                <w:sz w:val="24"/>
                <w:szCs w:val="24"/>
                <w:lang w:val="en-US" w:eastAsia="zh-CN"/>
              </w:rPr>
              <w:t>园区</w:t>
            </w:r>
            <w:r>
              <w:rPr>
                <w:rFonts w:hint="eastAsia"/>
                <w:color w:val="auto"/>
                <w:sz w:val="24"/>
                <w:szCs w:val="24"/>
              </w:rPr>
              <w:t>无依托关系。</w:t>
            </w:r>
            <w:r>
              <w:rPr>
                <w:rFonts w:hint="eastAsia"/>
                <w:color w:val="auto"/>
                <w:sz w:val="24"/>
                <w:szCs w:val="24"/>
                <w:lang w:eastAsia="zh-CN"/>
              </w:rPr>
              <w:t>斐洋船舶配件（常州）有限公司</w:t>
            </w:r>
            <w:r>
              <w:rPr>
                <w:rFonts w:hint="eastAsia"/>
                <w:color w:val="auto"/>
                <w:sz w:val="24"/>
                <w:szCs w:val="24"/>
              </w:rPr>
              <w:t>应落实废气、噪声、固废等污染防治措施，并严格执行环保“三同时”验收制度，确保达标排放</w:t>
            </w:r>
            <w:r>
              <w:rPr>
                <w:rFonts w:hint="eastAsia"/>
                <w:color w:val="auto"/>
                <w:sz w:val="24"/>
                <w:szCs w:val="24"/>
                <w:lang w:eastAsia="zh-CN"/>
              </w:rPr>
              <w:t>。</w:t>
            </w:r>
          </w:p>
          <w:p w14:paraId="6786F059">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color w:val="auto"/>
                <w:sz w:val="24"/>
                <w:szCs w:val="24"/>
              </w:rPr>
            </w:pPr>
            <w:r>
              <w:rPr>
                <w:rFonts w:hint="eastAsia"/>
                <w:color w:val="auto"/>
                <w:sz w:val="24"/>
                <w:szCs w:val="24"/>
              </w:rPr>
              <w:t>综上，本项目排水体系与</w:t>
            </w:r>
            <w:r>
              <w:rPr>
                <w:rFonts w:hint="eastAsia"/>
                <w:color w:val="auto"/>
                <w:sz w:val="24"/>
                <w:szCs w:val="24"/>
                <w:lang w:val="en-US" w:eastAsia="zh-CN"/>
              </w:rPr>
              <w:t>厂区</w:t>
            </w:r>
            <w:r>
              <w:rPr>
                <w:rFonts w:hint="eastAsia"/>
                <w:color w:val="auto"/>
                <w:sz w:val="24"/>
                <w:szCs w:val="24"/>
              </w:rPr>
              <w:t>的关联主要在于</w:t>
            </w:r>
            <w:r>
              <w:rPr>
                <w:rFonts w:hint="eastAsia"/>
                <w:color w:val="auto"/>
                <w:sz w:val="24"/>
                <w:szCs w:val="24"/>
                <w:lang w:val="en-US" w:eastAsia="zh-CN"/>
              </w:rPr>
              <w:t>依托园区</w:t>
            </w:r>
            <w:r>
              <w:rPr>
                <w:rFonts w:hint="eastAsia"/>
                <w:color w:val="auto"/>
                <w:sz w:val="24"/>
                <w:szCs w:val="24"/>
              </w:rPr>
              <w:t>已设置好的供配电系统</w:t>
            </w:r>
            <w:r>
              <w:rPr>
                <w:rFonts w:hint="eastAsia"/>
                <w:color w:val="auto"/>
                <w:sz w:val="24"/>
                <w:szCs w:val="24"/>
                <w:lang w:eastAsia="zh-CN"/>
              </w:rPr>
              <w:t>、</w:t>
            </w:r>
            <w:r>
              <w:rPr>
                <w:rFonts w:hint="eastAsia"/>
                <w:color w:val="auto"/>
                <w:sz w:val="24"/>
                <w:szCs w:val="24"/>
                <w:lang w:val="en-US" w:eastAsia="zh-CN"/>
              </w:rPr>
              <w:t>给排水系统、</w:t>
            </w:r>
            <w:r>
              <w:rPr>
                <w:rFonts w:hint="eastAsia"/>
                <w:color w:val="auto"/>
                <w:sz w:val="24"/>
                <w:szCs w:val="24"/>
              </w:rPr>
              <w:t>污水、雨水管网</w:t>
            </w:r>
            <w:r>
              <w:rPr>
                <w:rFonts w:hint="eastAsia"/>
                <w:color w:val="auto"/>
                <w:sz w:val="24"/>
                <w:szCs w:val="24"/>
                <w:lang w:val="en-US" w:eastAsia="zh-CN"/>
              </w:rPr>
              <w:t>及阀门</w:t>
            </w:r>
            <w:r>
              <w:rPr>
                <w:rFonts w:hint="eastAsia"/>
                <w:color w:val="auto"/>
                <w:sz w:val="24"/>
                <w:szCs w:val="24"/>
              </w:rPr>
              <w:t>。</w:t>
            </w:r>
            <w:r>
              <w:rPr>
                <w:rFonts w:hint="eastAsia"/>
                <w:color w:val="auto"/>
                <w:sz w:val="24"/>
                <w:szCs w:val="24"/>
                <w:lang w:val="en-US" w:eastAsia="zh-CN"/>
              </w:rPr>
              <w:t>厂区</w:t>
            </w:r>
            <w:r>
              <w:rPr>
                <w:rFonts w:hint="eastAsia"/>
                <w:color w:val="auto"/>
                <w:sz w:val="24"/>
                <w:szCs w:val="24"/>
              </w:rPr>
              <w:t>目前污水管网、雨水管网、排放口均已建设完成，不会限制本项目运营生产。</w:t>
            </w:r>
          </w:p>
          <w:p w14:paraId="0FADF241">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三</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val="0"/>
                <w:bCs/>
                <w:color w:val="auto"/>
                <w:sz w:val="24"/>
                <w:highlight w:val="none"/>
              </w:rPr>
              <w:t>责任主体</w:t>
            </w:r>
          </w:p>
          <w:p w14:paraId="3683A669">
            <w:pPr>
              <w:rPr>
                <w:rFonts w:hint="default" w:ascii="Times New Roman" w:hAnsi="Times New Roman" w:eastAsia="宋体" w:cs="Times New Roman"/>
                <w:color w:val="auto"/>
                <w:lang w:eastAsia="zh-CN"/>
              </w:rPr>
            </w:pPr>
            <w:r>
              <w:rPr>
                <w:rFonts w:hint="eastAsia" w:cs="Times New Roman"/>
                <w:b w:val="0"/>
                <w:bCs/>
                <w:color w:val="auto"/>
                <w:sz w:val="24"/>
                <w:highlight w:val="none"/>
                <w:lang w:val="en-US" w:eastAsia="zh-CN"/>
              </w:rPr>
              <w:t>洪帮新能源技术有限公司（即洪邦新能源产业园）</w:t>
            </w:r>
            <w:r>
              <w:rPr>
                <w:rFonts w:hint="default" w:ascii="Times New Roman" w:hAnsi="Times New Roman" w:eastAsia="宋体" w:cs="Times New Roman"/>
                <w:b w:val="0"/>
                <w:bCs/>
                <w:color w:val="auto"/>
                <w:sz w:val="24"/>
                <w:highlight w:val="none"/>
              </w:rPr>
              <w:t>应加强管理，确保</w:t>
            </w:r>
            <w:r>
              <w:rPr>
                <w:rFonts w:hint="eastAsia" w:cs="Times New Roman"/>
                <w:b w:val="0"/>
                <w:bCs/>
                <w:color w:val="auto"/>
                <w:sz w:val="24"/>
                <w:highlight w:val="none"/>
                <w:lang w:val="en-US" w:eastAsia="zh-CN"/>
              </w:rPr>
              <w:t>园</w:t>
            </w:r>
            <w:r>
              <w:rPr>
                <w:rFonts w:hint="default" w:ascii="Times New Roman" w:hAnsi="Times New Roman" w:eastAsia="宋体" w:cs="Times New Roman"/>
                <w:b w:val="0"/>
                <w:bCs/>
                <w:color w:val="auto"/>
                <w:sz w:val="24"/>
                <w:highlight w:val="none"/>
              </w:rPr>
              <w:t>区内废水总排污口各因子可达常州金坛区第二污水处理有限公司接管标准要求。若</w:t>
            </w:r>
            <w:r>
              <w:rPr>
                <w:rFonts w:hint="eastAsia" w:cs="Times New Roman"/>
                <w:b w:val="0"/>
                <w:bCs/>
                <w:color w:val="auto"/>
                <w:sz w:val="24"/>
                <w:highlight w:val="none"/>
                <w:lang w:val="en-US" w:eastAsia="zh-CN"/>
              </w:rPr>
              <w:t>园</w:t>
            </w:r>
            <w:r>
              <w:rPr>
                <w:rFonts w:hint="default" w:ascii="Times New Roman" w:hAnsi="Times New Roman" w:eastAsia="宋体" w:cs="Times New Roman"/>
                <w:b w:val="0"/>
                <w:bCs/>
                <w:color w:val="auto"/>
                <w:sz w:val="24"/>
                <w:highlight w:val="none"/>
              </w:rPr>
              <w:t>区接管口的采样井出现超标排放，由</w:t>
            </w:r>
            <w:r>
              <w:rPr>
                <w:rFonts w:hint="eastAsia" w:cs="Times New Roman"/>
                <w:b w:val="0"/>
                <w:bCs/>
                <w:color w:val="auto"/>
                <w:sz w:val="24"/>
                <w:highlight w:val="none"/>
                <w:lang w:val="en-US" w:eastAsia="zh-CN"/>
              </w:rPr>
              <w:t>洪帮新能源技术有限公司（即洪邦新能源产业园）</w:t>
            </w:r>
            <w:r>
              <w:rPr>
                <w:rFonts w:hint="default" w:ascii="Times New Roman" w:hAnsi="Times New Roman" w:eastAsia="宋体" w:cs="Times New Roman"/>
                <w:b w:val="0"/>
                <w:bCs/>
                <w:color w:val="auto"/>
                <w:sz w:val="24"/>
                <w:highlight w:val="none"/>
              </w:rPr>
              <w:t>承担相关责任。若</w:t>
            </w:r>
            <w:r>
              <w:rPr>
                <w:rFonts w:hint="eastAsia" w:cs="Times New Roman"/>
                <w:b w:val="0"/>
                <w:bCs/>
                <w:color w:val="auto"/>
                <w:sz w:val="24"/>
                <w:highlight w:val="none"/>
                <w:lang w:eastAsia="zh-CN"/>
              </w:rPr>
              <w:t>斐洋船舶配件（常州）有限公司</w:t>
            </w:r>
            <w:r>
              <w:rPr>
                <w:rFonts w:hint="default" w:ascii="Times New Roman" w:hAnsi="Times New Roman" w:eastAsia="宋体" w:cs="Times New Roman"/>
                <w:b w:val="0"/>
                <w:bCs/>
                <w:color w:val="auto"/>
                <w:sz w:val="24"/>
                <w:highlight w:val="none"/>
              </w:rPr>
              <w:t>设置的单独接管口的</w:t>
            </w:r>
            <w:r>
              <w:rPr>
                <w:rFonts w:hint="eastAsia" w:cs="Times New Roman"/>
                <w:b w:val="0"/>
                <w:bCs/>
                <w:color w:val="auto"/>
                <w:sz w:val="24"/>
                <w:highlight w:val="none"/>
                <w:lang w:val="en-US" w:eastAsia="zh-CN"/>
              </w:rPr>
              <w:t>生活污水</w:t>
            </w:r>
            <w:r>
              <w:rPr>
                <w:rFonts w:hint="default" w:ascii="Times New Roman" w:hAnsi="Times New Roman" w:eastAsia="宋体" w:cs="Times New Roman"/>
                <w:b w:val="0"/>
                <w:bCs/>
                <w:color w:val="auto"/>
                <w:sz w:val="24"/>
                <w:highlight w:val="none"/>
              </w:rPr>
              <w:t>采样井出现超标排放，废气排放口出现超标排放，固废未按要求收集及处理</w:t>
            </w:r>
            <w:r>
              <w:rPr>
                <w:rFonts w:hint="default" w:ascii="Times New Roman" w:hAnsi="Times New Roman" w:eastAsia="宋体" w:cs="Times New Roman"/>
                <w:b w:val="0"/>
                <w:bCs/>
                <w:color w:val="auto"/>
                <w:sz w:val="24"/>
                <w:highlight w:val="none"/>
                <w:lang w:val="en-US" w:eastAsia="zh-CN"/>
              </w:rPr>
              <w:t>等</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由</w:t>
            </w:r>
            <w:r>
              <w:rPr>
                <w:rFonts w:hint="eastAsia" w:cs="Times New Roman"/>
                <w:b w:val="0"/>
                <w:bCs/>
                <w:color w:val="auto"/>
                <w:sz w:val="24"/>
                <w:highlight w:val="none"/>
                <w:lang w:eastAsia="zh-CN"/>
              </w:rPr>
              <w:t>斐洋船舶配件（常州）有限公司</w:t>
            </w:r>
            <w:r>
              <w:rPr>
                <w:rFonts w:hint="default" w:ascii="Times New Roman" w:hAnsi="Times New Roman" w:eastAsia="宋体" w:cs="Times New Roman"/>
                <w:b w:val="0"/>
                <w:bCs/>
                <w:color w:val="auto"/>
                <w:sz w:val="24"/>
                <w:highlight w:val="none"/>
              </w:rPr>
              <w:t>承担相关责任。厂界噪声出现超标排放</w:t>
            </w:r>
            <w:r>
              <w:rPr>
                <w:rFonts w:hint="default" w:ascii="Times New Roman" w:hAnsi="Times New Roman" w:eastAsia="宋体" w:cs="Times New Roman"/>
                <w:b w:val="0"/>
                <w:bCs/>
                <w:color w:val="auto"/>
                <w:sz w:val="24"/>
                <w:highlight w:val="none"/>
                <w:lang w:val="en-US" w:eastAsia="zh-CN"/>
              </w:rPr>
              <w:t>时，相关监管部门关停厂区其他厂并进行厂界噪声监测，若检测数据超标，由</w:t>
            </w:r>
            <w:r>
              <w:rPr>
                <w:rFonts w:hint="eastAsia" w:cs="Times New Roman"/>
                <w:b w:val="0"/>
                <w:bCs/>
                <w:color w:val="auto"/>
                <w:sz w:val="24"/>
                <w:highlight w:val="none"/>
                <w:lang w:eastAsia="zh-CN"/>
              </w:rPr>
              <w:t>斐洋船舶配件（常州）有限公司</w:t>
            </w:r>
            <w:r>
              <w:rPr>
                <w:rFonts w:hint="default" w:ascii="Times New Roman" w:hAnsi="Times New Roman" w:eastAsia="宋体" w:cs="Times New Roman"/>
                <w:b w:val="0"/>
                <w:bCs/>
                <w:color w:val="auto"/>
                <w:sz w:val="24"/>
                <w:highlight w:val="none"/>
              </w:rPr>
              <w:t>承担相关责任</w:t>
            </w:r>
            <w:r>
              <w:rPr>
                <w:rFonts w:hint="default" w:ascii="Times New Roman" w:hAnsi="Times New Roman" w:eastAsia="宋体" w:cs="Times New Roman"/>
                <w:b w:val="0"/>
                <w:bCs/>
                <w:color w:val="auto"/>
                <w:sz w:val="24"/>
                <w:highlight w:val="none"/>
                <w:lang w:eastAsia="zh-CN"/>
              </w:rPr>
              <w:t>。</w:t>
            </w:r>
          </w:p>
        </w:tc>
      </w:tr>
    </w:tbl>
    <w:p w14:paraId="0885B78D">
      <w:pPr>
        <w:spacing w:line="240" w:lineRule="auto"/>
        <w:ind w:firstLine="0" w:firstLineChars="0"/>
        <w:jc w:val="center"/>
        <w:rPr>
          <w:rFonts w:hint="default" w:ascii="Times New Roman" w:hAnsi="Times New Roman" w:eastAsia="宋体" w:cs="Times New Roman"/>
          <w:b/>
          <w:bCs/>
          <w:color w:val="auto"/>
        </w:rPr>
        <w:sectPr>
          <w:footerReference r:id="rId7" w:type="default"/>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p w14:paraId="42BE0466">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三、区域环境质量状况、环境保护目标及评价标准</w:t>
      </w:r>
    </w:p>
    <w:tbl>
      <w:tblPr>
        <w:tblStyle w:val="44"/>
        <w:tblW w:w="996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8"/>
        <w:gridCol w:w="9501"/>
      </w:tblGrid>
      <w:tr w14:paraId="7A72AE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68" w:type="dxa"/>
            <w:noWrap w:val="0"/>
            <w:vAlign w:val="center"/>
          </w:tcPr>
          <w:p w14:paraId="180C4B8F">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区域环境质量现状及评价标准</w:t>
            </w:r>
          </w:p>
        </w:tc>
        <w:tc>
          <w:tcPr>
            <w:tcW w:w="9501" w:type="dxa"/>
            <w:noWrap w:val="0"/>
            <w:vAlign w:val="center"/>
          </w:tcPr>
          <w:p w14:paraId="6A1A4B90">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1、地表水环境</w:t>
            </w:r>
          </w:p>
          <w:p w14:paraId="67A77DE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1.1地表水环境质量评价标准</w:t>
            </w:r>
          </w:p>
          <w:p w14:paraId="4C7C3B05">
            <w:pPr>
              <w:adjustRightInd w:val="0"/>
              <w:snapToGrid w:val="0"/>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根据《关于印发〈江苏省地表水（环境）功能区划（2021-2030年）〉的通知》（苏环办</w:t>
            </w:r>
            <w:r>
              <w:rPr>
                <w:rFonts w:hint="default" w:ascii="Times New Roman" w:hAnsi="Times New Roman" w:eastAsia="宋体" w:cs="Times New Roman"/>
                <w:color w:val="auto"/>
                <w:sz w:val="24"/>
                <w:szCs w:val="24"/>
                <w:lang w:eastAsia="zh-CN"/>
              </w:rPr>
              <w:t>〔2022〕82号</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纳污水体</w:t>
            </w:r>
            <w:r>
              <w:rPr>
                <w:rFonts w:hint="eastAsia" w:cs="Times New Roman"/>
                <w:color w:val="auto"/>
                <w:sz w:val="24"/>
                <w:szCs w:val="24"/>
                <w:lang w:val="en-US" w:eastAsia="zh-CN"/>
              </w:rPr>
              <w:t>儒林</w:t>
            </w:r>
            <w:r>
              <w:rPr>
                <w:rFonts w:hint="default" w:ascii="Times New Roman" w:hAnsi="Times New Roman" w:eastAsia="宋体" w:cs="Times New Roman"/>
                <w:color w:val="auto"/>
                <w:sz w:val="24"/>
                <w:szCs w:val="24"/>
                <w:lang w:eastAsia="zh-CN"/>
              </w:rPr>
              <w:t>河</w:t>
            </w:r>
            <w:r>
              <w:rPr>
                <w:rFonts w:hint="default" w:ascii="Times New Roman" w:hAnsi="Times New Roman" w:eastAsia="宋体" w:cs="Times New Roman"/>
                <w:color w:val="auto"/>
                <w:sz w:val="24"/>
                <w:szCs w:val="24"/>
              </w:rPr>
              <w:t>水环境质量执行《地表水环境质量标准》（GB3838-2002）</w:t>
            </w:r>
            <w:r>
              <w:rPr>
                <w:color w:val="auto"/>
                <w:sz w:val="24"/>
                <w:szCs w:val="24"/>
              </w:rPr>
              <w:t>表1中Ⅲ类标准限值</w:t>
            </w:r>
            <w:r>
              <w:rPr>
                <w:rFonts w:hint="default" w:ascii="Times New Roman" w:hAnsi="Times New Roman" w:eastAsia="宋体" w:cs="Times New Roman"/>
                <w:color w:val="auto"/>
                <w:sz w:val="24"/>
                <w:szCs w:val="24"/>
              </w:rPr>
              <w:t>。具体标准限值见表3-1。</w:t>
            </w:r>
          </w:p>
          <w:p w14:paraId="363C2180">
            <w:pPr>
              <w:pStyle w:val="137"/>
              <w:adjustRightInd w:val="0"/>
              <w:snapToGrid w:val="0"/>
              <w:spacing w:after="0"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rPr>
              <w:noBreakHyphen/>
            </w:r>
            <w:r>
              <w:rPr>
                <w:rFonts w:hint="default" w:ascii="Times New Roman" w:hAnsi="Times New Roman" w:eastAsia="宋体" w:cs="Times New Roman"/>
                <w:b/>
                <w:bCs/>
                <w:color w:val="auto"/>
                <w:sz w:val="21"/>
                <w:szCs w:val="21"/>
              </w:rPr>
              <w:t>1  地表水环境质量标准</w:t>
            </w:r>
            <w:r>
              <w:rPr>
                <w:rFonts w:hint="default" w:ascii="Times New Roman" w:hAnsi="Times New Roman" w:eastAsia="宋体" w:cs="Times New Roman"/>
                <w:b/>
                <w:color w:val="auto"/>
                <w:sz w:val="21"/>
                <w:szCs w:val="21"/>
              </w:rPr>
              <w:t>限值表</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2345"/>
              <w:gridCol w:w="1669"/>
              <w:gridCol w:w="1578"/>
              <w:gridCol w:w="1049"/>
              <w:gridCol w:w="1538"/>
            </w:tblGrid>
            <w:tr w14:paraId="22D24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noWrap w:val="0"/>
                  <w:vAlign w:val="center"/>
                </w:tcPr>
                <w:p w14:paraId="6264B20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水域名</w:t>
                  </w:r>
                </w:p>
              </w:tc>
              <w:tc>
                <w:tcPr>
                  <w:tcW w:w="1263" w:type="pct"/>
                  <w:noWrap w:val="0"/>
                  <w:vAlign w:val="top"/>
                </w:tcPr>
                <w:p w14:paraId="427C7F2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c>
                <w:tcPr>
                  <w:tcW w:w="899" w:type="pct"/>
                  <w:noWrap w:val="0"/>
                  <w:vAlign w:val="top"/>
                </w:tcPr>
                <w:p w14:paraId="049F8F1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表号及级别</w:t>
                  </w:r>
                </w:p>
              </w:tc>
              <w:tc>
                <w:tcPr>
                  <w:tcW w:w="850" w:type="pct"/>
                  <w:noWrap w:val="0"/>
                  <w:vAlign w:val="center"/>
                </w:tcPr>
                <w:p w14:paraId="1A279587">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污染物指标</w:t>
                  </w:r>
                </w:p>
              </w:tc>
              <w:tc>
                <w:tcPr>
                  <w:tcW w:w="565" w:type="pct"/>
                  <w:noWrap w:val="0"/>
                  <w:vAlign w:val="center"/>
                </w:tcPr>
                <w:p w14:paraId="30329377">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828" w:type="pct"/>
                  <w:noWrap w:val="0"/>
                  <w:vAlign w:val="center"/>
                </w:tcPr>
                <w:p w14:paraId="27AC540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r>
            <w:tr w14:paraId="39CAE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vMerge w:val="restart"/>
                  <w:noWrap w:val="0"/>
                  <w:vAlign w:val="center"/>
                </w:tcPr>
                <w:p w14:paraId="4007401A">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儒林</w:t>
                  </w:r>
                  <w:r>
                    <w:rPr>
                      <w:rFonts w:hint="default" w:ascii="Times New Roman" w:hAnsi="Times New Roman" w:eastAsia="宋体" w:cs="Times New Roman"/>
                      <w:color w:val="auto"/>
                      <w:sz w:val="21"/>
                      <w:szCs w:val="21"/>
                      <w:lang w:eastAsia="zh-CN"/>
                    </w:rPr>
                    <w:t>河</w:t>
                  </w:r>
                </w:p>
              </w:tc>
              <w:tc>
                <w:tcPr>
                  <w:tcW w:w="1263" w:type="pct"/>
                  <w:vMerge w:val="restart"/>
                  <w:noWrap w:val="0"/>
                  <w:vAlign w:val="center"/>
                </w:tcPr>
                <w:p w14:paraId="76BB2DC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p>
              </w:tc>
              <w:tc>
                <w:tcPr>
                  <w:tcW w:w="899" w:type="pct"/>
                  <w:vMerge w:val="restart"/>
                  <w:noWrap w:val="0"/>
                  <w:vAlign w:val="center"/>
                </w:tcPr>
                <w:p w14:paraId="5EEA191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表1中Ⅲ类</w:t>
                  </w:r>
                </w:p>
              </w:tc>
              <w:tc>
                <w:tcPr>
                  <w:tcW w:w="850" w:type="pct"/>
                  <w:noWrap w:val="0"/>
                  <w:vAlign w:val="center"/>
                </w:tcPr>
                <w:p w14:paraId="37B15FB8">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w:t>
                  </w:r>
                </w:p>
              </w:tc>
              <w:tc>
                <w:tcPr>
                  <w:tcW w:w="565" w:type="pct"/>
                  <w:noWrap w:val="0"/>
                  <w:vAlign w:val="center"/>
                </w:tcPr>
                <w:p w14:paraId="0F9E72D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无量纲</w:t>
                  </w:r>
                </w:p>
              </w:tc>
              <w:tc>
                <w:tcPr>
                  <w:tcW w:w="828" w:type="pct"/>
                  <w:noWrap w:val="0"/>
                  <w:vAlign w:val="center"/>
                </w:tcPr>
                <w:p w14:paraId="0EA2A082">
                  <w:pPr>
                    <w:spacing w:line="240" w:lineRule="auto"/>
                    <w:ind w:firstLine="0" w:firstLineChars="0"/>
                    <w:jc w:val="center"/>
                    <w:rPr>
                      <w:rFonts w:hint="default" w:ascii="Times New Roman" w:hAnsi="Times New Roman" w:eastAsia="宋体" w:cs="Times New Roman"/>
                      <w:color w:val="auto"/>
                      <w:sz w:val="21"/>
                      <w:szCs w:val="21"/>
                    </w:rPr>
                  </w:pPr>
                  <w:r>
                    <w:rPr>
                      <w:color w:val="auto"/>
                      <w:sz w:val="21"/>
                      <w:szCs w:val="21"/>
                    </w:rPr>
                    <w:t>6~9</w:t>
                  </w:r>
                </w:p>
              </w:tc>
            </w:tr>
            <w:tr w14:paraId="1C073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vMerge w:val="continue"/>
                  <w:noWrap w:val="0"/>
                  <w:vAlign w:val="center"/>
                </w:tcPr>
                <w:p w14:paraId="3A1AAA3D">
                  <w:pPr>
                    <w:spacing w:line="240" w:lineRule="auto"/>
                    <w:ind w:firstLine="0" w:firstLineChars="0"/>
                    <w:jc w:val="center"/>
                    <w:rPr>
                      <w:rFonts w:hint="default" w:ascii="Times New Roman" w:hAnsi="Times New Roman" w:eastAsia="宋体" w:cs="Times New Roman"/>
                      <w:color w:val="auto"/>
                      <w:sz w:val="21"/>
                      <w:szCs w:val="21"/>
                    </w:rPr>
                  </w:pPr>
                </w:p>
              </w:tc>
              <w:tc>
                <w:tcPr>
                  <w:tcW w:w="1263" w:type="pct"/>
                  <w:vMerge w:val="continue"/>
                  <w:noWrap w:val="0"/>
                  <w:vAlign w:val="center"/>
                </w:tcPr>
                <w:p w14:paraId="02308692">
                  <w:pPr>
                    <w:spacing w:line="240" w:lineRule="auto"/>
                    <w:ind w:firstLine="0" w:firstLineChars="0"/>
                    <w:jc w:val="center"/>
                    <w:rPr>
                      <w:rFonts w:hint="default" w:ascii="Times New Roman" w:hAnsi="Times New Roman" w:eastAsia="宋体" w:cs="Times New Roman"/>
                      <w:color w:val="auto"/>
                      <w:sz w:val="21"/>
                      <w:szCs w:val="21"/>
                    </w:rPr>
                  </w:pPr>
                </w:p>
              </w:tc>
              <w:tc>
                <w:tcPr>
                  <w:tcW w:w="899" w:type="pct"/>
                  <w:vMerge w:val="continue"/>
                  <w:noWrap w:val="0"/>
                  <w:vAlign w:val="center"/>
                </w:tcPr>
                <w:p w14:paraId="7A2A2ED1">
                  <w:pPr>
                    <w:spacing w:line="240" w:lineRule="auto"/>
                    <w:ind w:firstLine="0" w:firstLineChars="0"/>
                    <w:jc w:val="center"/>
                    <w:rPr>
                      <w:rFonts w:hint="default" w:ascii="Times New Roman" w:hAnsi="Times New Roman" w:eastAsia="宋体" w:cs="Times New Roman"/>
                      <w:color w:val="auto"/>
                      <w:sz w:val="21"/>
                      <w:szCs w:val="21"/>
                    </w:rPr>
                  </w:pPr>
                </w:p>
              </w:tc>
              <w:tc>
                <w:tcPr>
                  <w:tcW w:w="850" w:type="pct"/>
                  <w:noWrap w:val="0"/>
                  <w:vAlign w:val="center"/>
                </w:tcPr>
                <w:p w14:paraId="075ABFA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565" w:type="pct"/>
                  <w:vMerge w:val="restart"/>
                  <w:noWrap w:val="0"/>
                  <w:vAlign w:val="center"/>
                </w:tcPr>
                <w:p w14:paraId="2498E4A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828" w:type="pct"/>
                  <w:noWrap w:val="0"/>
                  <w:vAlign w:val="center"/>
                </w:tcPr>
                <w:p w14:paraId="70270454">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color w:val="auto"/>
                      <w:sz w:val="21"/>
                      <w:szCs w:val="21"/>
                    </w:rPr>
                    <w:t>20</w:t>
                  </w:r>
                </w:p>
              </w:tc>
            </w:tr>
            <w:tr w14:paraId="05658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vMerge w:val="continue"/>
                  <w:noWrap w:val="0"/>
                  <w:vAlign w:val="center"/>
                </w:tcPr>
                <w:p w14:paraId="3A37E0A5">
                  <w:pPr>
                    <w:spacing w:line="240" w:lineRule="auto"/>
                    <w:ind w:firstLine="0" w:firstLineChars="0"/>
                    <w:jc w:val="center"/>
                    <w:rPr>
                      <w:rFonts w:hint="default" w:ascii="Times New Roman" w:hAnsi="Times New Roman" w:eastAsia="宋体" w:cs="Times New Roman"/>
                      <w:color w:val="auto"/>
                      <w:sz w:val="21"/>
                      <w:szCs w:val="21"/>
                    </w:rPr>
                  </w:pPr>
                </w:p>
              </w:tc>
              <w:tc>
                <w:tcPr>
                  <w:tcW w:w="1263" w:type="pct"/>
                  <w:vMerge w:val="continue"/>
                  <w:noWrap w:val="0"/>
                  <w:vAlign w:val="center"/>
                </w:tcPr>
                <w:p w14:paraId="5CC85EDC">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99" w:type="pct"/>
                  <w:vMerge w:val="continue"/>
                  <w:noWrap w:val="0"/>
                  <w:vAlign w:val="center"/>
                </w:tcPr>
                <w:p w14:paraId="15026155">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50" w:type="pct"/>
                  <w:noWrap w:val="0"/>
                  <w:vAlign w:val="center"/>
                </w:tcPr>
                <w:p w14:paraId="25439CE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565" w:type="pct"/>
                  <w:vMerge w:val="continue"/>
                  <w:noWrap w:val="0"/>
                  <w:vAlign w:val="center"/>
                </w:tcPr>
                <w:p w14:paraId="0EDD4771">
                  <w:pPr>
                    <w:spacing w:line="240" w:lineRule="auto"/>
                    <w:ind w:firstLine="0" w:firstLineChars="0"/>
                    <w:jc w:val="center"/>
                    <w:rPr>
                      <w:rFonts w:hint="default" w:ascii="Times New Roman" w:hAnsi="Times New Roman" w:eastAsia="宋体" w:cs="Times New Roman"/>
                      <w:color w:val="auto"/>
                      <w:sz w:val="21"/>
                      <w:szCs w:val="21"/>
                    </w:rPr>
                  </w:pPr>
                </w:p>
              </w:tc>
              <w:tc>
                <w:tcPr>
                  <w:tcW w:w="828" w:type="pct"/>
                  <w:noWrap w:val="0"/>
                  <w:vAlign w:val="center"/>
                </w:tcPr>
                <w:p w14:paraId="2954C46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1.0</w:t>
                  </w:r>
                </w:p>
              </w:tc>
            </w:tr>
            <w:tr w14:paraId="3E4F2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vMerge w:val="continue"/>
                  <w:noWrap w:val="0"/>
                  <w:vAlign w:val="center"/>
                </w:tcPr>
                <w:p w14:paraId="3163D7CE">
                  <w:pPr>
                    <w:spacing w:line="240" w:lineRule="auto"/>
                    <w:ind w:firstLine="0" w:firstLineChars="0"/>
                    <w:jc w:val="center"/>
                    <w:rPr>
                      <w:rFonts w:hint="default" w:ascii="Times New Roman" w:hAnsi="Times New Roman" w:eastAsia="宋体" w:cs="Times New Roman"/>
                      <w:color w:val="auto"/>
                      <w:sz w:val="21"/>
                      <w:szCs w:val="21"/>
                    </w:rPr>
                  </w:pPr>
                </w:p>
              </w:tc>
              <w:tc>
                <w:tcPr>
                  <w:tcW w:w="1263" w:type="pct"/>
                  <w:vMerge w:val="continue"/>
                  <w:noWrap w:val="0"/>
                  <w:vAlign w:val="center"/>
                </w:tcPr>
                <w:p w14:paraId="7E9D81A5">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99" w:type="pct"/>
                  <w:vMerge w:val="continue"/>
                  <w:noWrap w:val="0"/>
                  <w:vAlign w:val="center"/>
                </w:tcPr>
                <w:p w14:paraId="482DC58A">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50" w:type="pct"/>
                  <w:noWrap w:val="0"/>
                  <w:vAlign w:val="center"/>
                </w:tcPr>
                <w:p w14:paraId="3444A17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TP</w:t>
                  </w:r>
                </w:p>
              </w:tc>
              <w:tc>
                <w:tcPr>
                  <w:tcW w:w="565" w:type="pct"/>
                  <w:vMerge w:val="continue"/>
                  <w:noWrap w:val="0"/>
                  <w:vAlign w:val="center"/>
                </w:tcPr>
                <w:p w14:paraId="3CF42D81">
                  <w:pPr>
                    <w:spacing w:line="240" w:lineRule="auto"/>
                    <w:ind w:firstLine="0" w:firstLineChars="0"/>
                    <w:jc w:val="center"/>
                    <w:rPr>
                      <w:rFonts w:hint="default" w:ascii="Times New Roman" w:hAnsi="Times New Roman" w:eastAsia="宋体" w:cs="Times New Roman"/>
                      <w:color w:val="auto"/>
                      <w:sz w:val="21"/>
                      <w:szCs w:val="21"/>
                    </w:rPr>
                  </w:pPr>
                </w:p>
              </w:tc>
              <w:tc>
                <w:tcPr>
                  <w:tcW w:w="828" w:type="pct"/>
                  <w:noWrap w:val="0"/>
                  <w:vAlign w:val="center"/>
                </w:tcPr>
                <w:p w14:paraId="3C4059D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0.2</w:t>
                  </w:r>
                </w:p>
              </w:tc>
            </w:tr>
            <w:tr w14:paraId="35EF7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2" w:type="pct"/>
                  <w:vMerge w:val="continue"/>
                  <w:noWrap w:val="0"/>
                  <w:vAlign w:val="center"/>
                </w:tcPr>
                <w:p w14:paraId="53CF8EBF">
                  <w:pPr>
                    <w:spacing w:line="240" w:lineRule="auto"/>
                    <w:ind w:firstLine="0" w:firstLineChars="0"/>
                    <w:jc w:val="center"/>
                    <w:rPr>
                      <w:rFonts w:hint="default" w:ascii="Times New Roman" w:hAnsi="Times New Roman" w:eastAsia="宋体" w:cs="Times New Roman"/>
                      <w:color w:val="auto"/>
                      <w:sz w:val="21"/>
                      <w:szCs w:val="21"/>
                    </w:rPr>
                  </w:pPr>
                </w:p>
              </w:tc>
              <w:tc>
                <w:tcPr>
                  <w:tcW w:w="1263" w:type="pct"/>
                  <w:vMerge w:val="continue"/>
                  <w:noWrap w:val="0"/>
                  <w:vAlign w:val="center"/>
                </w:tcPr>
                <w:p w14:paraId="320028A3">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99" w:type="pct"/>
                  <w:vMerge w:val="continue"/>
                  <w:noWrap w:val="0"/>
                  <w:vAlign w:val="center"/>
                </w:tcPr>
                <w:p w14:paraId="0B598071">
                  <w:pPr>
                    <w:adjustRightInd w:val="0"/>
                    <w:snapToGrid w:val="0"/>
                    <w:spacing w:line="240" w:lineRule="auto"/>
                    <w:ind w:firstLine="0" w:firstLineChars="0"/>
                    <w:jc w:val="center"/>
                    <w:rPr>
                      <w:rFonts w:hint="default" w:ascii="Times New Roman" w:hAnsi="Times New Roman" w:eastAsia="宋体" w:cs="Times New Roman"/>
                      <w:color w:val="auto"/>
                      <w:sz w:val="21"/>
                      <w:szCs w:val="21"/>
                    </w:rPr>
                  </w:pPr>
                </w:p>
              </w:tc>
              <w:tc>
                <w:tcPr>
                  <w:tcW w:w="850" w:type="pct"/>
                  <w:noWrap w:val="0"/>
                  <w:vAlign w:val="center"/>
                </w:tcPr>
                <w:p w14:paraId="62DACF0F">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T</w:t>
                  </w:r>
                  <w:r>
                    <w:rPr>
                      <w:rFonts w:hint="eastAsia" w:cs="Times New Roman"/>
                      <w:color w:val="auto"/>
                      <w:sz w:val="21"/>
                      <w:szCs w:val="21"/>
                      <w:lang w:val="en-US" w:eastAsia="zh-CN"/>
                    </w:rPr>
                    <w:t>N</w:t>
                  </w:r>
                </w:p>
              </w:tc>
              <w:tc>
                <w:tcPr>
                  <w:tcW w:w="565" w:type="pct"/>
                  <w:vMerge w:val="continue"/>
                  <w:noWrap w:val="0"/>
                  <w:vAlign w:val="center"/>
                </w:tcPr>
                <w:p w14:paraId="31B501A1">
                  <w:pPr>
                    <w:spacing w:line="240" w:lineRule="auto"/>
                    <w:ind w:firstLine="0" w:firstLineChars="0"/>
                    <w:jc w:val="center"/>
                    <w:rPr>
                      <w:rFonts w:hint="default" w:ascii="Times New Roman" w:hAnsi="Times New Roman" w:eastAsia="宋体" w:cs="Times New Roman"/>
                      <w:color w:val="auto"/>
                      <w:sz w:val="21"/>
                      <w:szCs w:val="21"/>
                    </w:rPr>
                  </w:pPr>
                </w:p>
              </w:tc>
              <w:tc>
                <w:tcPr>
                  <w:tcW w:w="828" w:type="pct"/>
                  <w:noWrap w:val="0"/>
                  <w:vAlign w:val="center"/>
                </w:tcPr>
                <w:p w14:paraId="5D577EF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1.0</w:t>
                  </w:r>
                </w:p>
              </w:tc>
            </w:tr>
          </w:tbl>
          <w:p w14:paraId="52403EEF">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1.2地表水环境质量状况</w:t>
            </w:r>
          </w:p>
          <w:p w14:paraId="479888E9">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区域水环境状况</w:t>
            </w:r>
          </w:p>
          <w:p w14:paraId="5D138736">
            <w:pPr>
              <w:ind w:firstLine="420"/>
              <w:rPr>
                <w:color w:val="auto"/>
                <w:sz w:val="24"/>
                <w:szCs w:val="24"/>
              </w:rPr>
            </w:pPr>
            <w:r>
              <w:rPr>
                <w:color w:val="auto"/>
                <w:sz w:val="24"/>
                <w:szCs w:val="24"/>
              </w:rPr>
              <w:t>根据《</w:t>
            </w:r>
            <w:r>
              <w:rPr>
                <w:rFonts w:hint="eastAsia"/>
                <w:color w:val="auto"/>
                <w:sz w:val="24"/>
                <w:szCs w:val="24"/>
                <w:lang w:eastAsia="zh-CN"/>
              </w:rPr>
              <w:t>2024年常州市生态环境质量状况公报</w:t>
            </w:r>
            <w:r>
              <w:rPr>
                <w:color w:val="auto"/>
                <w:sz w:val="24"/>
                <w:szCs w:val="24"/>
              </w:rPr>
              <w:t>》可知</w:t>
            </w:r>
            <w:r>
              <w:rPr>
                <w:rFonts w:hint="eastAsia"/>
                <w:color w:val="auto"/>
                <w:sz w:val="24"/>
                <w:szCs w:val="24"/>
                <w:lang w:eastAsia="zh-CN"/>
              </w:rPr>
              <w:t>：</w:t>
            </w:r>
            <w:r>
              <w:rPr>
                <w:rFonts w:hint="eastAsia"/>
                <w:color w:val="auto"/>
                <w:sz w:val="24"/>
                <w:szCs w:val="24"/>
              </w:rPr>
              <w:t>国考、省考断面水质达到或好于</w:t>
            </w:r>
            <w:r>
              <w:rPr>
                <w:rFonts w:hint="eastAsia"/>
                <w:color w:val="auto"/>
                <w:sz w:val="24"/>
                <w:szCs w:val="24"/>
                <w:lang w:val="en-US" w:eastAsia="zh-CN"/>
              </w:rPr>
              <w:t>Ⅲ</w:t>
            </w:r>
            <w:r>
              <w:rPr>
                <w:rFonts w:hint="eastAsia"/>
                <w:color w:val="auto"/>
                <w:sz w:val="24"/>
                <w:szCs w:val="24"/>
              </w:rPr>
              <w:t>类比例完成省定考核要求，太湖水质自2007年蓝藻事件以来首次达</w:t>
            </w:r>
            <w:r>
              <w:rPr>
                <w:rFonts w:hint="eastAsia"/>
                <w:color w:val="auto"/>
                <w:sz w:val="24"/>
                <w:szCs w:val="24"/>
                <w:lang w:val="en-US" w:eastAsia="zh-CN"/>
              </w:rPr>
              <w:t>Ⅲ</w:t>
            </w:r>
            <w:r>
              <w:rPr>
                <w:rFonts w:hint="eastAsia"/>
                <w:color w:val="auto"/>
                <w:sz w:val="24"/>
                <w:szCs w:val="24"/>
              </w:rPr>
              <w:t>、重回“良好”湖泊，连续17年实现安全度夏。长江干流</w:t>
            </w:r>
            <w:r>
              <w:rPr>
                <w:rFonts w:hint="eastAsia"/>
                <w:color w:val="auto"/>
                <w:sz w:val="24"/>
                <w:szCs w:val="24"/>
                <w:lang w:eastAsia="zh-CN"/>
              </w:rPr>
              <w:t>（</w:t>
            </w:r>
            <w:r>
              <w:rPr>
                <w:rFonts w:hint="eastAsia"/>
                <w:color w:val="auto"/>
                <w:sz w:val="24"/>
                <w:szCs w:val="24"/>
              </w:rPr>
              <w:t>常州段</w:t>
            </w:r>
            <w:r>
              <w:rPr>
                <w:rFonts w:hint="eastAsia"/>
                <w:color w:val="auto"/>
                <w:sz w:val="24"/>
                <w:szCs w:val="24"/>
                <w:lang w:eastAsia="zh-CN"/>
              </w:rPr>
              <w:t>）</w:t>
            </w:r>
            <w:r>
              <w:rPr>
                <w:rFonts w:hint="eastAsia"/>
                <w:color w:val="auto"/>
                <w:sz w:val="24"/>
                <w:szCs w:val="24"/>
              </w:rPr>
              <w:t>水质连续8年稳定Ⅱ类水平</w:t>
            </w:r>
            <w:r>
              <w:rPr>
                <w:rFonts w:hint="eastAsia"/>
                <w:color w:val="auto"/>
                <w:sz w:val="24"/>
                <w:szCs w:val="24"/>
                <w:lang w:eastAsia="zh-CN"/>
              </w:rPr>
              <w:t>，</w:t>
            </w:r>
            <w:r>
              <w:rPr>
                <w:rFonts w:hint="eastAsia"/>
                <w:color w:val="auto"/>
                <w:sz w:val="24"/>
                <w:szCs w:val="24"/>
              </w:rPr>
              <w:t>主要入湖河道、集中式饮用水源地水质稳定达到省定考核目标。常州市城市饮用水以集中供水为主，2024年全市5个县级及以上城市集中式饮用水水源地</w:t>
            </w:r>
            <w:r>
              <w:rPr>
                <w:rFonts w:hint="eastAsia"/>
                <w:color w:val="auto"/>
                <w:sz w:val="24"/>
                <w:szCs w:val="24"/>
                <w:lang w:eastAsia="zh-CN"/>
              </w:rPr>
              <w:t>（</w:t>
            </w:r>
            <w:r>
              <w:rPr>
                <w:rFonts w:hint="eastAsia"/>
                <w:color w:val="auto"/>
                <w:sz w:val="24"/>
                <w:szCs w:val="24"/>
              </w:rPr>
              <w:t>含备用</w:t>
            </w:r>
            <w:r>
              <w:rPr>
                <w:rFonts w:hint="eastAsia"/>
                <w:color w:val="auto"/>
                <w:sz w:val="24"/>
                <w:szCs w:val="24"/>
                <w:lang w:eastAsia="zh-CN"/>
              </w:rPr>
              <w:t>）</w:t>
            </w:r>
            <w:r>
              <w:rPr>
                <w:rFonts w:hint="eastAsia"/>
                <w:color w:val="auto"/>
                <w:sz w:val="24"/>
                <w:szCs w:val="24"/>
              </w:rPr>
              <w:t>，取水总量为5.23亿吨，全年每月监测均达标。常州市纳入“十四五”国家地表水环境质量考核的20个断面，年均水质达到或好于《地表水环境质量标准》</w:t>
            </w:r>
            <w:r>
              <w:rPr>
                <w:rFonts w:hint="eastAsia"/>
                <w:color w:val="auto"/>
                <w:sz w:val="24"/>
                <w:szCs w:val="24"/>
                <w:lang w:eastAsia="zh-CN"/>
              </w:rPr>
              <w:t>（</w:t>
            </w:r>
            <w:r>
              <w:rPr>
                <w:rFonts w:hint="eastAsia"/>
                <w:color w:val="auto"/>
                <w:sz w:val="24"/>
                <w:szCs w:val="24"/>
              </w:rPr>
              <w:t>GB3838-2002</w:t>
            </w:r>
            <w:r>
              <w:rPr>
                <w:rFonts w:hint="eastAsia"/>
                <w:color w:val="auto"/>
                <w:sz w:val="24"/>
                <w:szCs w:val="24"/>
                <w:lang w:eastAsia="zh-CN"/>
              </w:rPr>
              <w:t>）</w:t>
            </w:r>
            <w:r>
              <w:rPr>
                <w:rFonts w:hint="eastAsia"/>
                <w:color w:val="auto"/>
                <w:sz w:val="24"/>
                <w:szCs w:val="24"/>
                <w:lang w:val="en-US" w:eastAsia="zh-CN"/>
              </w:rPr>
              <w:t>Ⅲ</w:t>
            </w:r>
            <w:r>
              <w:rPr>
                <w:rFonts w:hint="eastAsia"/>
                <w:color w:val="auto"/>
                <w:sz w:val="24"/>
                <w:szCs w:val="24"/>
              </w:rPr>
              <w:t>类标准的断面比例为85%，无V类断面。纳入江苏省“十四五”水环境质量目标考核的51个断面，年均水质达到或好于</w:t>
            </w:r>
            <w:r>
              <w:rPr>
                <w:rFonts w:hint="eastAsia"/>
                <w:color w:val="auto"/>
                <w:sz w:val="24"/>
                <w:szCs w:val="24"/>
                <w:lang w:val="en-US" w:eastAsia="zh-CN"/>
              </w:rPr>
              <w:t>Ⅲ</w:t>
            </w:r>
            <w:r>
              <w:rPr>
                <w:rFonts w:hint="eastAsia"/>
                <w:color w:val="auto"/>
                <w:sz w:val="24"/>
                <w:szCs w:val="24"/>
              </w:rPr>
              <w:t>类的比例为94.1%，无劣V类断面。太湖常州水域总磷同比改善24%，对全湖总磷改善幅度贡献率达182%</w:t>
            </w:r>
            <w:r>
              <w:rPr>
                <w:rFonts w:hint="eastAsia"/>
                <w:color w:val="auto"/>
                <w:sz w:val="24"/>
                <w:szCs w:val="24"/>
                <w:lang w:eastAsia="zh-CN"/>
              </w:rPr>
              <w:t>，</w:t>
            </w:r>
            <w:r>
              <w:rPr>
                <w:rFonts w:hint="eastAsia"/>
                <w:color w:val="auto"/>
                <w:sz w:val="24"/>
                <w:szCs w:val="24"/>
              </w:rPr>
              <w:t>位列环湖城市第一，太湖入湖河道通量最大的百渎港总磷同比下降17.6%。长荡湖水质稳定达到IV类，水生植物覆盖度达38.4%，由“藻型湖”逐步向“草型湖”转变</w:t>
            </w:r>
            <w:r>
              <w:rPr>
                <w:rFonts w:hint="eastAsia"/>
                <w:color w:val="auto"/>
                <w:sz w:val="24"/>
                <w:szCs w:val="24"/>
                <w:lang w:eastAsia="zh-CN"/>
              </w:rPr>
              <w:t>；</w:t>
            </w:r>
            <w:r>
              <w:rPr>
                <w:rFonts w:hint="eastAsia"/>
                <w:color w:val="auto"/>
                <w:sz w:val="24"/>
                <w:szCs w:val="24"/>
              </w:rPr>
              <w:t>滆湖常州水域水质首次达到I类，总磷同比改善27.9%，营养状态从“中度”改善至“轻度”。长江干流魏村</w:t>
            </w:r>
            <w:r>
              <w:rPr>
                <w:rFonts w:hint="eastAsia"/>
                <w:color w:val="auto"/>
                <w:sz w:val="24"/>
                <w:szCs w:val="24"/>
                <w:lang w:eastAsia="zh-CN"/>
              </w:rPr>
              <w:t>（</w:t>
            </w:r>
            <w:r>
              <w:rPr>
                <w:rFonts w:hint="eastAsia"/>
                <w:color w:val="auto"/>
                <w:sz w:val="24"/>
                <w:szCs w:val="24"/>
              </w:rPr>
              <w:t>右岸</w:t>
            </w:r>
            <w:r>
              <w:rPr>
                <w:rFonts w:hint="eastAsia"/>
                <w:color w:val="auto"/>
                <w:sz w:val="24"/>
                <w:szCs w:val="24"/>
                <w:lang w:eastAsia="zh-CN"/>
              </w:rPr>
              <w:t>）</w:t>
            </w:r>
            <w:r>
              <w:rPr>
                <w:rFonts w:hint="eastAsia"/>
                <w:color w:val="auto"/>
                <w:sz w:val="24"/>
                <w:szCs w:val="24"/>
              </w:rPr>
              <w:t>断面水质连续八年达到</w:t>
            </w:r>
            <w:r>
              <w:rPr>
                <w:rFonts w:hint="eastAsia"/>
                <w:color w:val="auto"/>
                <w:sz w:val="24"/>
                <w:szCs w:val="24"/>
                <w:lang w:val="en-US" w:eastAsia="zh-CN"/>
              </w:rPr>
              <w:t>Ⅲ</w:t>
            </w:r>
            <w:r>
              <w:rPr>
                <w:rFonts w:hint="eastAsia"/>
                <w:color w:val="auto"/>
                <w:sz w:val="24"/>
                <w:szCs w:val="24"/>
              </w:rPr>
              <w:t>类</w:t>
            </w:r>
            <w:r>
              <w:rPr>
                <w:rFonts w:hint="eastAsia"/>
                <w:color w:val="auto"/>
                <w:sz w:val="24"/>
                <w:szCs w:val="24"/>
                <w:lang w:eastAsia="zh-CN"/>
              </w:rPr>
              <w:t>；</w:t>
            </w:r>
            <w:r>
              <w:rPr>
                <w:rFonts w:hint="eastAsia"/>
                <w:color w:val="auto"/>
                <w:sz w:val="24"/>
                <w:szCs w:val="24"/>
              </w:rPr>
              <w:t>新孟河、德胜河、澡港河等3条主要通江支流上5个国省考断面年均水质均达到或优于</w:t>
            </w:r>
            <w:r>
              <w:rPr>
                <w:rFonts w:hint="eastAsia"/>
                <w:color w:val="auto"/>
                <w:sz w:val="24"/>
                <w:szCs w:val="24"/>
                <w:lang w:val="en-US" w:eastAsia="zh-CN"/>
              </w:rPr>
              <w:t>Ⅲ</w:t>
            </w:r>
            <w:r>
              <w:rPr>
                <w:rFonts w:hint="eastAsia"/>
                <w:color w:val="auto"/>
                <w:sz w:val="24"/>
                <w:szCs w:val="24"/>
              </w:rPr>
              <w:t>类。京杭大运河</w:t>
            </w:r>
            <w:r>
              <w:rPr>
                <w:rFonts w:hint="eastAsia"/>
                <w:color w:val="auto"/>
                <w:sz w:val="24"/>
                <w:szCs w:val="24"/>
                <w:lang w:eastAsia="zh-CN"/>
              </w:rPr>
              <w:t>（</w:t>
            </w:r>
            <w:r>
              <w:rPr>
                <w:rFonts w:hint="eastAsia"/>
                <w:color w:val="auto"/>
                <w:sz w:val="24"/>
                <w:szCs w:val="24"/>
              </w:rPr>
              <w:t>常州段</w:t>
            </w:r>
            <w:r>
              <w:rPr>
                <w:rFonts w:hint="eastAsia"/>
                <w:color w:val="auto"/>
                <w:sz w:val="24"/>
                <w:szCs w:val="24"/>
                <w:lang w:eastAsia="zh-CN"/>
              </w:rPr>
              <w:t>）</w:t>
            </w:r>
            <w:r>
              <w:rPr>
                <w:rFonts w:hint="eastAsia"/>
                <w:color w:val="auto"/>
                <w:sz w:val="24"/>
                <w:szCs w:val="24"/>
              </w:rPr>
              <w:t>沿线五牧、连江桥下、戚墅堰等3个国省考断面年均水质均达到或好于</w:t>
            </w:r>
            <w:r>
              <w:rPr>
                <w:rFonts w:hint="eastAsia"/>
                <w:color w:val="auto"/>
                <w:sz w:val="24"/>
                <w:szCs w:val="24"/>
                <w:lang w:val="en-US" w:eastAsia="zh-CN"/>
              </w:rPr>
              <w:t>Ⅲ</w:t>
            </w:r>
            <w:r>
              <w:rPr>
                <w:rFonts w:hint="eastAsia"/>
                <w:color w:val="auto"/>
                <w:sz w:val="24"/>
                <w:szCs w:val="24"/>
              </w:rPr>
              <w:t>类</w:t>
            </w:r>
            <w:r>
              <w:rPr>
                <w:color w:val="auto"/>
                <w:sz w:val="24"/>
                <w:szCs w:val="24"/>
              </w:rPr>
              <w:t>。</w:t>
            </w:r>
          </w:p>
          <w:p w14:paraId="2FD1674D">
            <w:pPr>
              <w:spacing w:line="360" w:lineRule="auto"/>
              <w:ind w:firstLine="480" w:firstLineChars="200"/>
              <w:rPr>
                <w:rFonts w:hint="default" w:ascii="Times New Roman" w:hAnsi="Times New Roman" w:eastAsia="宋体" w:cs="Times New Roman"/>
                <w:color w:val="auto"/>
                <w:sz w:val="24"/>
              </w:rPr>
            </w:pPr>
            <w:r>
              <w:rPr>
                <w:rFonts w:hint="eastAsia"/>
                <w:color w:val="auto"/>
                <w:sz w:val="24"/>
                <w:szCs w:val="24"/>
              </w:rPr>
              <w:t>持续打好长江保护修复攻坚战，到2025年长江干流水质稳定达到Ⅱ类；持续打好太湖流域综合整治攻坚战，坚决守住“确保饮用水安全，确保不发生大面积湖泛”底线；提升饮用水水源安全保障水平，完善集中式水源地保护区划分和长效管护机制，加强水源地预警监控能力建设；持续打好黑臭水体治理攻坚战，到2025年，苏南县级以上城市建成区80%以上面积，苏中、苏北县级以上城市建成区60%以上面积，建成“污水处理提质增效达标区”；着力打好海洋生态环境综合治理攻坚战，推进重点河口海湾综合治理，深入开展“美丽海湾”建设；强化陆域水域污染协同治理，到2025年，全面完成骨干河道和重点湖泊排污口排查整治。</w:t>
            </w:r>
          </w:p>
          <w:p w14:paraId="384FFA9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地表水环境质量现状引用</w:t>
            </w:r>
          </w:p>
          <w:p w14:paraId="4C92AAF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为了解</w:t>
            </w:r>
            <w:r>
              <w:rPr>
                <w:rFonts w:hint="default" w:ascii="Times New Roman" w:hAnsi="Times New Roman" w:eastAsia="宋体" w:cs="Times New Roman"/>
                <w:color w:val="auto"/>
                <w:sz w:val="24"/>
                <w:lang w:eastAsia="zh-CN"/>
              </w:rPr>
              <w:t>常州金坛儒林污水处理厂</w:t>
            </w:r>
            <w:r>
              <w:rPr>
                <w:rFonts w:hint="default" w:ascii="Times New Roman" w:hAnsi="Times New Roman" w:eastAsia="宋体" w:cs="Times New Roman"/>
                <w:color w:val="auto"/>
                <w:sz w:val="24"/>
              </w:rPr>
              <w:t>排口上</w:t>
            </w:r>
            <w:r>
              <w:rPr>
                <w:rFonts w:hint="default" w:ascii="Times New Roman" w:hAnsi="Times New Roman" w:eastAsia="宋体" w:cs="Times New Roman"/>
                <w:color w:val="auto"/>
                <w:sz w:val="24"/>
                <w:lang w:val="en-US" w:eastAsia="zh-CN"/>
              </w:rPr>
              <w:t>下游</w:t>
            </w:r>
            <w:r>
              <w:rPr>
                <w:rFonts w:hint="default" w:ascii="Times New Roman" w:hAnsi="Times New Roman" w:eastAsia="宋体" w:cs="Times New Roman"/>
                <w:color w:val="auto"/>
                <w:sz w:val="24"/>
              </w:rPr>
              <w:t>水质</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尧塘河</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现状，本次评价引用TST202</w:t>
            </w:r>
            <w:r>
              <w:rPr>
                <w:rFonts w:hint="default" w:ascii="Times New Roman" w:hAnsi="Times New Roman" w:eastAsia="宋体" w:cs="Times New Roman"/>
                <w:color w:val="auto"/>
                <w:sz w:val="24"/>
                <w:lang w:val="en-US" w:eastAsia="zh-CN"/>
              </w:rPr>
              <w:t>505117</w:t>
            </w:r>
            <w:r>
              <w:rPr>
                <w:rFonts w:hint="default" w:ascii="Times New Roman" w:hAnsi="Times New Roman" w:eastAsia="宋体" w:cs="Times New Roman"/>
                <w:color w:val="auto"/>
                <w:sz w:val="24"/>
              </w:rPr>
              <w:t>在</w:t>
            </w:r>
            <w:r>
              <w:rPr>
                <w:rFonts w:hint="default" w:ascii="Times New Roman" w:hAnsi="Times New Roman" w:eastAsia="宋体" w:cs="Times New Roman"/>
                <w:color w:val="auto"/>
                <w:sz w:val="24"/>
                <w:lang w:eastAsia="zh-CN"/>
              </w:rPr>
              <w:t>常州金坛儒林污水处理厂</w:t>
            </w:r>
            <w:r>
              <w:rPr>
                <w:rFonts w:hint="default" w:ascii="Times New Roman" w:hAnsi="Times New Roman" w:eastAsia="宋体" w:cs="Times New Roman"/>
                <w:color w:val="auto"/>
                <w:sz w:val="24"/>
              </w:rPr>
              <w:t>排口上游500米处和</w:t>
            </w:r>
            <w:r>
              <w:rPr>
                <w:rFonts w:hint="default" w:ascii="Times New Roman" w:hAnsi="Times New Roman" w:eastAsia="宋体" w:cs="Times New Roman"/>
                <w:color w:val="auto"/>
                <w:sz w:val="24"/>
                <w:lang w:eastAsia="zh-CN"/>
              </w:rPr>
              <w:t>常州金坛儒林污水处理厂</w:t>
            </w:r>
            <w:r>
              <w:rPr>
                <w:rFonts w:hint="default" w:ascii="Times New Roman" w:hAnsi="Times New Roman" w:eastAsia="宋体" w:cs="Times New Roman"/>
                <w:color w:val="auto"/>
                <w:sz w:val="24"/>
              </w:rPr>
              <w:t>排口下游</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00米处点位地表水对 pH 值、化学需氧量、氨氮、总磷</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总氮</w:t>
            </w:r>
            <w:r>
              <w:rPr>
                <w:rFonts w:hint="default" w:ascii="Times New Roman" w:hAnsi="Times New Roman" w:eastAsia="宋体" w:cs="Times New Roman"/>
                <w:color w:val="auto"/>
                <w:sz w:val="24"/>
              </w:rPr>
              <w:t>的检测数据。</w:t>
            </w:r>
          </w:p>
          <w:p w14:paraId="17EAC8B8">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引用数据有效性分析：①本项目地表水质量现状引用202</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年</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rPr>
              <w:t>月</w:t>
            </w:r>
            <w:r>
              <w:rPr>
                <w:rFonts w:hint="default" w:ascii="Times New Roman" w:hAnsi="Times New Roman" w:eastAsia="宋体" w:cs="Times New Roman"/>
                <w:color w:val="auto"/>
                <w:sz w:val="24"/>
                <w:lang w:val="en-US" w:eastAsia="zh-CN"/>
              </w:rPr>
              <w:t>26</w:t>
            </w:r>
            <w:r>
              <w:rPr>
                <w:rFonts w:hint="default" w:ascii="Times New Roman" w:hAnsi="Times New Roman" w:eastAsia="宋体" w:cs="Times New Roman"/>
                <w:color w:val="auto"/>
                <w:sz w:val="24"/>
              </w:rPr>
              <w:t>日</w:t>
            </w:r>
            <w:r>
              <w:rPr>
                <w:rFonts w:hint="default" w:ascii="Times New Roman" w:hAnsi="Times New Roman" w:eastAsia="宋体" w:cs="Times New Roman"/>
                <w:color w:val="auto"/>
                <w:sz w:val="24"/>
                <w:lang w:val="en-US" w:eastAsia="zh-CN"/>
              </w:rPr>
              <w:t>、5月27日、5月28日</w:t>
            </w:r>
            <w:r>
              <w:rPr>
                <w:rFonts w:hint="default" w:ascii="Times New Roman" w:hAnsi="Times New Roman" w:eastAsia="宋体" w:cs="Times New Roman"/>
                <w:color w:val="auto"/>
                <w:sz w:val="24"/>
              </w:rPr>
              <w:t>监测数据，引用时间不超过3年，且项目所在区域内污染源未发生重大变化，地表水引用时间有效；②引用点位在项目相关评价范围内，则地表水引用点位有效。</w:t>
            </w:r>
          </w:p>
          <w:p w14:paraId="6A3CF9EF">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监测数据统计结果见下表：</w:t>
            </w:r>
          </w:p>
          <w:p w14:paraId="6C6CF0C7">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监测数据  单位：mg/L</w:t>
            </w:r>
          </w:p>
          <w:tbl>
            <w:tblPr>
              <w:tblStyle w:val="44"/>
              <w:tblW w:w="492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1301"/>
              <w:gridCol w:w="1545"/>
              <w:gridCol w:w="1352"/>
              <w:gridCol w:w="961"/>
              <w:gridCol w:w="1030"/>
              <w:gridCol w:w="1030"/>
              <w:gridCol w:w="1052"/>
            </w:tblGrid>
            <w:tr w14:paraId="1A909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479" w:type="pct"/>
                  <w:vMerge w:val="restart"/>
                  <w:noWrap w:val="0"/>
                  <w:vAlign w:val="center"/>
                </w:tcPr>
                <w:p w14:paraId="05D2F40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水域名称</w:t>
                  </w:r>
                </w:p>
              </w:tc>
              <w:tc>
                <w:tcPr>
                  <w:tcW w:w="711" w:type="pct"/>
                  <w:vMerge w:val="restart"/>
                  <w:noWrap w:val="0"/>
                  <w:vAlign w:val="center"/>
                </w:tcPr>
                <w:p w14:paraId="6FB1EB4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采样断面</w:t>
                  </w:r>
                </w:p>
              </w:tc>
              <w:tc>
                <w:tcPr>
                  <w:tcW w:w="843" w:type="pct"/>
                  <w:vMerge w:val="restart"/>
                  <w:noWrap w:val="0"/>
                  <w:vAlign w:val="center"/>
                </w:tcPr>
                <w:p w14:paraId="2418275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项目</w:t>
                  </w:r>
                </w:p>
              </w:tc>
              <w:tc>
                <w:tcPr>
                  <w:tcW w:w="2965" w:type="pct"/>
                  <w:gridSpan w:val="5"/>
                  <w:noWrap w:val="0"/>
                  <w:vAlign w:val="center"/>
                </w:tcPr>
                <w:p w14:paraId="7CEFBB2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检测结果</w:t>
                  </w:r>
                </w:p>
              </w:tc>
            </w:tr>
            <w:tr w14:paraId="07188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32731F7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p>
              </w:tc>
              <w:tc>
                <w:tcPr>
                  <w:tcW w:w="711" w:type="pct"/>
                  <w:vMerge w:val="continue"/>
                  <w:noWrap w:val="0"/>
                  <w:vAlign w:val="center"/>
                </w:tcPr>
                <w:p w14:paraId="7AE9DD9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p>
              </w:tc>
              <w:tc>
                <w:tcPr>
                  <w:tcW w:w="843" w:type="pct"/>
                  <w:vMerge w:val="continue"/>
                  <w:noWrap w:val="0"/>
                  <w:vAlign w:val="center"/>
                </w:tcPr>
                <w:p w14:paraId="36A5851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kern w:val="0"/>
                      <w:sz w:val="21"/>
                      <w:szCs w:val="21"/>
                      <w:highlight w:val="none"/>
                    </w:rPr>
                  </w:pPr>
                </w:p>
              </w:tc>
              <w:tc>
                <w:tcPr>
                  <w:tcW w:w="739" w:type="pct"/>
                  <w:noWrap w:val="0"/>
                  <w:vAlign w:val="center"/>
                </w:tcPr>
                <w:p w14:paraId="2D26B218">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eastAsia" w:ascii="Times New Roman" w:hAnsi="Times New Roman" w:eastAsia="宋体" w:cs="Times New Roman"/>
                      <w:b/>
                      <w:bCs/>
                      <w:color w:val="auto"/>
                      <w:sz w:val="21"/>
                      <w:szCs w:val="21"/>
                      <w:highlight w:val="none"/>
                      <w:vertAlign w:val="subscript"/>
                      <w:lang w:eastAsia="zh-CN"/>
                    </w:rPr>
                  </w:pPr>
                  <w:r>
                    <w:rPr>
                      <w:rFonts w:hint="default" w:ascii="Times New Roman" w:hAnsi="Times New Roman" w:eastAsia="宋体" w:cs="Times New Roman"/>
                      <w:b/>
                      <w:bCs/>
                      <w:color w:val="auto"/>
                      <w:sz w:val="21"/>
                      <w:szCs w:val="21"/>
                      <w:highlight w:val="none"/>
                    </w:rPr>
                    <w:t>pH</w:t>
                  </w:r>
                  <w:r>
                    <w:rPr>
                      <w:rFonts w:hint="eastAsia"/>
                      <w:b/>
                      <w:bCs/>
                      <w:color w:val="auto"/>
                      <w:lang w:eastAsia="zh-CN"/>
                    </w:rPr>
                    <w:t>（</w:t>
                  </w:r>
                  <w:r>
                    <w:rPr>
                      <w:rFonts w:hint="eastAsia"/>
                      <w:b/>
                      <w:bCs/>
                      <w:color w:val="auto"/>
                      <w:lang w:val="en-US" w:eastAsia="zh-CN"/>
                    </w:rPr>
                    <w:t>无量纲</w:t>
                  </w:r>
                  <w:r>
                    <w:rPr>
                      <w:rFonts w:hint="eastAsia"/>
                      <w:b/>
                      <w:bCs/>
                      <w:color w:val="auto"/>
                      <w:lang w:eastAsia="zh-CN"/>
                    </w:rPr>
                    <w:t>）</w:t>
                  </w:r>
                </w:p>
              </w:tc>
              <w:tc>
                <w:tcPr>
                  <w:tcW w:w="525" w:type="pct"/>
                  <w:noWrap w:val="0"/>
                  <w:vAlign w:val="center"/>
                </w:tcPr>
                <w:p w14:paraId="453B3DD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COD</w:t>
                  </w:r>
                </w:p>
              </w:tc>
              <w:tc>
                <w:tcPr>
                  <w:tcW w:w="563" w:type="pct"/>
                  <w:noWrap w:val="0"/>
                  <w:vAlign w:val="center"/>
                </w:tcPr>
                <w:p w14:paraId="0D24456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氨氮</w:t>
                  </w:r>
                </w:p>
              </w:tc>
              <w:tc>
                <w:tcPr>
                  <w:tcW w:w="563" w:type="pct"/>
                  <w:noWrap w:val="0"/>
                  <w:vAlign w:val="center"/>
                </w:tcPr>
                <w:p w14:paraId="6D8AAA4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总磷</w:t>
                  </w:r>
                </w:p>
              </w:tc>
              <w:tc>
                <w:tcPr>
                  <w:tcW w:w="572" w:type="pct"/>
                  <w:noWrap w:val="0"/>
                  <w:vAlign w:val="center"/>
                </w:tcPr>
                <w:p w14:paraId="29FED92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总氮</w:t>
                  </w:r>
                </w:p>
              </w:tc>
            </w:tr>
            <w:tr w14:paraId="53BDD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restart"/>
                  <w:noWrap w:val="0"/>
                  <w:vAlign w:val="center"/>
                </w:tcPr>
                <w:p w14:paraId="23D0E2F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儒林</w:t>
                  </w:r>
                  <w:r>
                    <w:rPr>
                      <w:rFonts w:hint="default" w:ascii="Times New Roman" w:hAnsi="Times New Roman" w:eastAsia="宋体" w:cs="Times New Roman"/>
                      <w:color w:val="auto"/>
                      <w:kern w:val="0"/>
                      <w:sz w:val="21"/>
                      <w:szCs w:val="21"/>
                      <w:highlight w:val="none"/>
                    </w:rPr>
                    <w:t>河</w:t>
                  </w:r>
                </w:p>
              </w:tc>
              <w:tc>
                <w:tcPr>
                  <w:tcW w:w="711" w:type="pct"/>
                  <w:vMerge w:val="restart"/>
                  <w:noWrap w:val="0"/>
                  <w:vAlign w:val="center"/>
                </w:tcPr>
                <w:p w14:paraId="1A3F3E6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常州金坛儒林污水处理厂</w:t>
                  </w:r>
                  <w:r>
                    <w:rPr>
                      <w:rFonts w:hint="default" w:ascii="Times New Roman" w:hAnsi="Times New Roman" w:eastAsia="宋体" w:cs="Times New Roman"/>
                      <w:color w:val="auto"/>
                      <w:kern w:val="0"/>
                      <w:sz w:val="21"/>
                      <w:szCs w:val="21"/>
                      <w:highlight w:val="none"/>
                    </w:rPr>
                    <w:t>尾水排口上游500米</w:t>
                  </w:r>
                </w:p>
              </w:tc>
              <w:tc>
                <w:tcPr>
                  <w:tcW w:w="843" w:type="pct"/>
                  <w:noWrap w:val="0"/>
                  <w:vAlign w:val="center"/>
                </w:tcPr>
                <w:p w14:paraId="7A570FC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最大值</w:t>
                  </w:r>
                </w:p>
              </w:tc>
              <w:tc>
                <w:tcPr>
                  <w:tcW w:w="739" w:type="pct"/>
                  <w:noWrap w:val="0"/>
                  <w:vAlign w:val="center"/>
                </w:tcPr>
                <w:p w14:paraId="0617EE8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8.1</w:t>
                  </w:r>
                </w:p>
              </w:tc>
              <w:tc>
                <w:tcPr>
                  <w:tcW w:w="525" w:type="pct"/>
                  <w:noWrap w:val="0"/>
                  <w:vAlign w:val="center"/>
                </w:tcPr>
                <w:p w14:paraId="3DACA49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19</w:t>
                  </w:r>
                </w:p>
              </w:tc>
              <w:tc>
                <w:tcPr>
                  <w:tcW w:w="563" w:type="pct"/>
                  <w:noWrap w:val="0"/>
                  <w:vAlign w:val="center"/>
                </w:tcPr>
                <w:p w14:paraId="3A22C4C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0.077</w:t>
                  </w:r>
                </w:p>
              </w:tc>
              <w:tc>
                <w:tcPr>
                  <w:tcW w:w="563" w:type="pct"/>
                  <w:noWrap w:val="0"/>
                  <w:vAlign w:val="center"/>
                </w:tcPr>
                <w:p w14:paraId="010190F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0.08</w:t>
                  </w:r>
                </w:p>
              </w:tc>
              <w:tc>
                <w:tcPr>
                  <w:tcW w:w="572" w:type="pct"/>
                  <w:noWrap w:val="0"/>
                  <w:vAlign w:val="center"/>
                </w:tcPr>
                <w:p w14:paraId="5EC7258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0.86</w:t>
                  </w:r>
                </w:p>
              </w:tc>
            </w:tr>
            <w:tr w14:paraId="154C0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3AF372F8">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70B1FCB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7DC73C9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最小值</w:t>
                  </w:r>
                </w:p>
              </w:tc>
              <w:tc>
                <w:tcPr>
                  <w:tcW w:w="739" w:type="pct"/>
                  <w:noWrap w:val="0"/>
                  <w:vAlign w:val="center"/>
                </w:tcPr>
                <w:p w14:paraId="103C5B9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7.4</w:t>
                  </w:r>
                </w:p>
              </w:tc>
              <w:tc>
                <w:tcPr>
                  <w:tcW w:w="525" w:type="pct"/>
                  <w:noWrap w:val="0"/>
                  <w:vAlign w:val="center"/>
                </w:tcPr>
                <w:p w14:paraId="737728F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15</w:t>
                  </w:r>
                </w:p>
              </w:tc>
              <w:tc>
                <w:tcPr>
                  <w:tcW w:w="563" w:type="pct"/>
                  <w:noWrap w:val="0"/>
                  <w:vAlign w:val="center"/>
                </w:tcPr>
                <w:p w14:paraId="3CE17FE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0.053</w:t>
                  </w:r>
                </w:p>
              </w:tc>
              <w:tc>
                <w:tcPr>
                  <w:tcW w:w="563" w:type="pct"/>
                  <w:noWrap w:val="0"/>
                  <w:vAlign w:val="center"/>
                </w:tcPr>
                <w:p w14:paraId="2FE99BE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0.04</w:t>
                  </w:r>
                </w:p>
              </w:tc>
              <w:tc>
                <w:tcPr>
                  <w:tcW w:w="572" w:type="pct"/>
                  <w:noWrap w:val="0"/>
                  <w:vAlign w:val="center"/>
                </w:tcPr>
                <w:p w14:paraId="6B4FA78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0.44</w:t>
                  </w:r>
                </w:p>
              </w:tc>
            </w:tr>
            <w:tr w14:paraId="33B3E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33358D2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1EFCB1A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5638E8A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平均值</w:t>
                  </w:r>
                </w:p>
              </w:tc>
              <w:tc>
                <w:tcPr>
                  <w:tcW w:w="739" w:type="pct"/>
                  <w:noWrap w:val="0"/>
                  <w:vAlign w:val="center"/>
                </w:tcPr>
                <w:p w14:paraId="6A98021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70D1011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17.5</w:t>
                  </w:r>
                </w:p>
              </w:tc>
              <w:tc>
                <w:tcPr>
                  <w:tcW w:w="563" w:type="pct"/>
                  <w:noWrap w:val="0"/>
                  <w:vAlign w:val="center"/>
                </w:tcPr>
                <w:p w14:paraId="59535D6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0.069</w:t>
                  </w:r>
                </w:p>
              </w:tc>
              <w:tc>
                <w:tcPr>
                  <w:tcW w:w="563" w:type="pct"/>
                  <w:noWrap w:val="0"/>
                  <w:vAlign w:val="center"/>
                </w:tcPr>
                <w:p w14:paraId="65B3971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0.055</w:t>
                  </w:r>
                </w:p>
              </w:tc>
              <w:tc>
                <w:tcPr>
                  <w:tcW w:w="572" w:type="pct"/>
                  <w:noWrap w:val="0"/>
                  <w:vAlign w:val="center"/>
                </w:tcPr>
                <w:p w14:paraId="789F7DC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0.58</w:t>
                  </w:r>
                </w:p>
              </w:tc>
            </w:tr>
            <w:tr w14:paraId="5ED48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24BAE9D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2551C68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67D92BC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超标率</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eastAsia="zh-CN"/>
                    </w:rPr>
                    <w:t>）</w:t>
                  </w:r>
                </w:p>
              </w:tc>
              <w:tc>
                <w:tcPr>
                  <w:tcW w:w="739" w:type="pct"/>
                  <w:noWrap w:val="0"/>
                  <w:vAlign w:val="center"/>
                </w:tcPr>
                <w:p w14:paraId="452E0C4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5C1AB9D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63" w:type="pct"/>
                  <w:noWrap w:val="0"/>
                  <w:vAlign w:val="center"/>
                </w:tcPr>
                <w:p w14:paraId="2409BCA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63" w:type="pct"/>
                  <w:noWrap w:val="0"/>
                  <w:vAlign w:val="center"/>
                </w:tcPr>
                <w:p w14:paraId="552636B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72" w:type="pct"/>
                  <w:noWrap w:val="0"/>
                  <w:vAlign w:val="center"/>
                </w:tcPr>
                <w:p w14:paraId="7BBC9ED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0</w:t>
                  </w:r>
                </w:p>
              </w:tc>
            </w:tr>
            <w:tr w14:paraId="59B2E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479" w:type="pct"/>
                  <w:vMerge w:val="continue"/>
                  <w:noWrap w:val="0"/>
                  <w:vAlign w:val="center"/>
                </w:tcPr>
                <w:p w14:paraId="1515BF8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5868168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2224EEF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最大超标倍数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p>
              </w:tc>
              <w:tc>
                <w:tcPr>
                  <w:tcW w:w="739" w:type="pct"/>
                  <w:noWrap w:val="0"/>
                  <w:vAlign w:val="center"/>
                </w:tcPr>
                <w:p w14:paraId="457822C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26DDE14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3" w:type="pct"/>
                  <w:noWrap w:val="0"/>
                  <w:vAlign w:val="center"/>
                </w:tcPr>
                <w:p w14:paraId="3A96F4C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3" w:type="pct"/>
                  <w:noWrap w:val="0"/>
                  <w:vAlign w:val="center"/>
                </w:tcPr>
                <w:p w14:paraId="16D8ADE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72" w:type="pct"/>
                  <w:noWrap w:val="0"/>
                  <w:vAlign w:val="center"/>
                </w:tcPr>
                <w:p w14:paraId="0B8801C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r>
            <w:tr w14:paraId="78403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5FA60F6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restart"/>
                  <w:noWrap w:val="0"/>
                  <w:vAlign w:val="center"/>
                </w:tcPr>
                <w:p w14:paraId="36A499B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常州金坛儒林污水处理厂</w:t>
                  </w:r>
                  <w:r>
                    <w:rPr>
                      <w:rFonts w:hint="default" w:ascii="Times New Roman" w:hAnsi="Times New Roman" w:eastAsia="宋体" w:cs="Times New Roman"/>
                      <w:color w:val="auto"/>
                      <w:kern w:val="0"/>
                      <w:sz w:val="21"/>
                      <w:szCs w:val="21"/>
                      <w:highlight w:val="none"/>
                    </w:rPr>
                    <w:t>尾水排口下游</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000米</w:t>
                  </w:r>
                </w:p>
              </w:tc>
              <w:tc>
                <w:tcPr>
                  <w:tcW w:w="843" w:type="pct"/>
                  <w:noWrap w:val="0"/>
                  <w:vAlign w:val="center"/>
                </w:tcPr>
                <w:p w14:paraId="31BE22A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最大值</w:t>
                  </w:r>
                </w:p>
              </w:tc>
              <w:tc>
                <w:tcPr>
                  <w:tcW w:w="739" w:type="pct"/>
                  <w:noWrap w:val="0"/>
                  <w:vAlign w:val="center"/>
                </w:tcPr>
                <w:p w14:paraId="236EAF2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7.6</w:t>
                  </w:r>
                </w:p>
              </w:tc>
              <w:tc>
                <w:tcPr>
                  <w:tcW w:w="525" w:type="pct"/>
                  <w:noWrap w:val="0"/>
                  <w:vAlign w:val="center"/>
                </w:tcPr>
                <w:p w14:paraId="3EC5E258">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16</w:t>
                  </w:r>
                </w:p>
              </w:tc>
              <w:tc>
                <w:tcPr>
                  <w:tcW w:w="563" w:type="pct"/>
                  <w:noWrap w:val="0"/>
                  <w:vAlign w:val="center"/>
                </w:tcPr>
                <w:p w14:paraId="41E0331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0.137</w:t>
                  </w:r>
                </w:p>
              </w:tc>
              <w:tc>
                <w:tcPr>
                  <w:tcW w:w="563" w:type="pct"/>
                  <w:noWrap w:val="0"/>
                  <w:vAlign w:val="center"/>
                </w:tcPr>
                <w:p w14:paraId="37D0F76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0.02</w:t>
                  </w:r>
                </w:p>
              </w:tc>
              <w:tc>
                <w:tcPr>
                  <w:tcW w:w="572" w:type="pct"/>
                  <w:noWrap w:val="0"/>
                  <w:vAlign w:val="center"/>
                </w:tcPr>
                <w:p w14:paraId="0354368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0.93</w:t>
                  </w:r>
                </w:p>
              </w:tc>
            </w:tr>
            <w:tr w14:paraId="6DD56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30846CB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05606CBB">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46C22F6B">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最小值</w:t>
                  </w:r>
                </w:p>
              </w:tc>
              <w:tc>
                <w:tcPr>
                  <w:tcW w:w="739" w:type="pct"/>
                  <w:noWrap w:val="0"/>
                  <w:vAlign w:val="center"/>
                </w:tcPr>
                <w:p w14:paraId="7E464CA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8.4</w:t>
                  </w:r>
                </w:p>
              </w:tc>
              <w:tc>
                <w:tcPr>
                  <w:tcW w:w="525" w:type="pct"/>
                  <w:noWrap w:val="0"/>
                  <w:vAlign w:val="center"/>
                </w:tcPr>
                <w:p w14:paraId="03A72FD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w:t>
                  </w:r>
                </w:p>
              </w:tc>
              <w:tc>
                <w:tcPr>
                  <w:tcW w:w="563" w:type="pct"/>
                  <w:noWrap w:val="0"/>
                  <w:vAlign w:val="center"/>
                </w:tcPr>
                <w:p w14:paraId="360FDB3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0.064</w:t>
                  </w:r>
                </w:p>
              </w:tc>
              <w:tc>
                <w:tcPr>
                  <w:tcW w:w="563" w:type="pct"/>
                  <w:noWrap w:val="0"/>
                  <w:vAlign w:val="center"/>
                </w:tcPr>
                <w:p w14:paraId="7FEFB99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0.06</w:t>
                  </w:r>
                </w:p>
              </w:tc>
              <w:tc>
                <w:tcPr>
                  <w:tcW w:w="572" w:type="pct"/>
                  <w:noWrap w:val="0"/>
                  <w:vAlign w:val="center"/>
                </w:tcPr>
                <w:p w14:paraId="3323F45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0.69</w:t>
                  </w:r>
                </w:p>
              </w:tc>
            </w:tr>
            <w:tr w14:paraId="07BC3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14908A6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40887C3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728A51C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平均值</w:t>
                  </w:r>
                </w:p>
              </w:tc>
              <w:tc>
                <w:tcPr>
                  <w:tcW w:w="739" w:type="pct"/>
                  <w:noWrap w:val="0"/>
                  <w:vAlign w:val="center"/>
                </w:tcPr>
                <w:p w14:paraId="50928AC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65018EA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14</w:t>
                  </w:r>
                </w:p>
              </w:tc>
              <w:tc>
                <w:tcPr>
                  <w:tcW w:w="563" w:type="pct"/>
                  <w:noWrap w:val="0"/>
                  <w:vAlign w:val="center"/>
                </w:tcPr>
                <w:p w14:paraId="03DF5EF8">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0.100</w:t>
                  </w:r>
                </w:p>
              </w:tc>
              <w:tc>
                <w:tcPr>
                  <w:tcW w:w="563" w:type="pct"/>
                  <w:noWrap w:val="0"/>
                  <w:vAlign w:val="center"/>
                </w:tcPr>
                <w:p w14:paraId="08807B47">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0.098</w:t>
                  </w:r>
                </w:p>
              </w:tc>
              <w:tc>
                <w:tcPr>
                  <w:tcW w:w="572" w:type="pct"/>
                  <w:noWrap w:val="0"/>
                  <w:vAlign w:val="center"/>
                </w:tcPr>
                <w:p w14:paraId="63F97D1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0.79</w:t>
                  </w:r>
                </w:p>
              </w:tc>
            </w:tr>
            <w:tr w14:paraId="5588D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79" w:type="pct"/>
                  <w:vMerge w:val="continue"/>
                  <w:noWrap w:val="0"/>
                  <w:vAlign w:val="center"/>
                </w:tcPr>
                <w:p w14:paraId="4956B91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51E6143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79DAFEC6">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超标率</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eastAsia="zh-CN"/>
                    </w:rPr>
                    <w:t>）</w:t>
                  </w:r>
                </w:p>
              </w:tc>
              <w:tc>
                <w:tcPr>
                  <w:tcW w:w="739" w:type="pct"/>
                  <w:noWrap w:val="0"/>
                  <w:vAlign w:val="center"/>
                </w:tcPr>
                <w:p w14:paraId="30A67EF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76EBF12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63" w:type="pct"/>
                  <w:noWrap w:val="0"/>
                  <w:vAlign w:val="center"/>
                </w:tcPr>
                <w:p w14:paraId="6E796FC8">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63" w:type="pct"/>
                  <w:noWrap w:val="0"/>
                  <w:vAlign w:val="center"/>
                </w:tcPr>
                <w:p w14:paraId="7A77D86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72" w:type="pct"/>
                  <w:noWrap w:val="0"/>
                  <w:vAlign w:val="center"/>
                </w:tcPr>
                <w:p w14:paraId="0AE7E86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0</w:t>
                  </w:r>
                </w:p>
              </w:tc>
            </w:tr>
            <w:tr w14:paraId="3C6DF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479" w:type="pct"/>
                  <w:vMerge w:val="continue"/>
                  <w:noWrap w:val="0"/>
                  <w:vAlign w:val="center"/>
                </w:tcPr>
                <w:p w14:paraId="6D1670C5">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711" w:type="pct"/>
                  <w:vMerge w:val="continue"/>
                  <w:noWrap w:val="0"/>
                  <w:vAlign w:val="center"/>
                </w:tcPr>
                <w:p w14:paraId="3EE3023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p>
              </w:tc>
              <w:tc>
                <w:tcPr>
                  <w:tcW w:w="843" w:type="pct"/>
                  <w:noWrap w:val="0"/>
                  <w:vAlign w:val="center"/>
                </w:tcPr>
                <w:p w14:paraId="06FC72A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最大超标倍数</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p>
              </w:tc>
              <w:tc>
                <w:tcPr>
                  <w:tcW w:w="739" w:type="pct"/>
                  <w:noWrap w:val="0"/>
                  <w:vAlign w:val="center"/>
                </w:tcPr>
                <w:p w14:paraId="03F0439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25" w:type="pct"/>
                  <w:noWrap w:val="0"/>
                  <w:vAlign w:val="center"/>
                </w:tcPr>
                <w:p w14:paraId="0CF1B992">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3" w:type="pct"/>
                  <w:noWrap w:val="0"/>
                  <w:vAlign w:val="center"/>
                </w:tcPr>
                <w:p w14:paraId="0F895C3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63" w:type="pct"/>
                  <w:noWrap w:val="0"/>
                  <w:vAlign w:val="center"/>
                </w:tcPr>
                <w:p w14:paraId="7FE456B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72" w:type="pct"/>
                  <w:noWrap w:val="0"/>
                  <w:vAlign w:val="center"/>
                </w:tcPr>
                <w:p w14:paraId="321D384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r>
            <w:tr w14:paraId="5F21C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2034" w:type="pct"/>
                  <w:gridSpan w:val="3"/>
                  <w:noWrap w:val="0"/>
                  <w:vAlign w:val="center"/>
                </w:tcPr>
                <w:p w14:paraId="45D1CF6C">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标准值</w:t>
                  </w:r>
                </w:p>
              </w:tc>
              <w:tc>
                <w:tcPr>
                  <w:tcW w:w="739" w:type="pct"/>
                  <w:noWrap w:val="0"/>
                  <w:vAlign w:val="center"/>
                </w:tcPr>
                <w:p w14:paraId="48D6A0A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525" w:type="pct"/>
                  <w:noWrap w:val="0"/>
                  <w:vAlign w:val="center"/>
                </w:tcPr>
                <w:p w14:paraId="23EDB2B1">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63" w:type="pct"/>
                  <w:noWrap w:val="0"/>
                  <w:vAlign w:val="center"/>
                </w:tcPr>
                <w:p w14:paraId="48C306E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63" w:type="pct"/>
                  <w:noWrap w:val="0"/>
                  <w:vAlign w:val="center"/>
                </w:tcPr>
                <w:p w14:paraId="4C5A8A2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572" w:type="pct"/>
                  <w:noWrap w:val="0"/>
                  <w:vAlign w:val="center"/>
                </w:tcPr>
                <w:p w14:paraId="504BF14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bl>
          <w:p w14:paraId="206B477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地表水水质现状监测及评价结果表明，尧塘河各引用断面中pH、COD、NH</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-N、TP</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TN</w:t>
            </w:r>
            <w:r>
              <w:rPr>
                <w:rFonts w:hint="default" w:ascii="Times New Roman" w:hAnsi="Times New Roman" w:eastAsia="宋体" w:cs="Times New Roman"/>
                <w:color w:val="auto"/>
                <w:sz w:val="24"/>
              </w:rPr>
              <w:t>均能达到《地表水环境质量标准》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GB3838-2002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III类水质标准，说明当地水环境质量良好，具有一定的环境承载力。</w:t>
            </w:r>
          </w:p>
          <w:p w14:paraId="3747A6CD">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2、大气环境</w:t>
            </w:r>
          </w:p>
          <w:p w14:paraId="4D8D7BD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2.1环境空气质量评价标准</w:t>
            </w:r>
          </w:p>
          <w:p w14:paraId="12FA52D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根据《常州市环境空气质量功能区划分规定（2017）》，本项目所在区域为二类功能区，SO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、CO、O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执行《环境空气质量标准》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GB3095-2012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及其修改单表1中的二级标准，TSP、NO</w:t>
            </w:r>
            <w:r>
              <w:rPr>
                <w:rFonts w:hint="default" w:ascii="Times New Roman" w:hAnsi="Times New Roman" w:eastAsia="宋体" w:cs="Times New Roman"/>
                <w:color w:val="auto"/>
                <w:sz w:val="24"/>
                <w:szCs w:val="24"/>
                <w:vertAlign w:val="subscript"/>
              </w:rPr>
              <w:t>X</w:t>
            </w:r>
            <w:r>
              <w:rPr>
                <w:rFonts w:hint="default" w:ascii="Times New Roman" w:hAnsi="Times New Roman" w:eastAsia="宋体" w:cs="Times New Roman"/>
                <w:color w:val="auto"/>
                <w:sz w:val="24"/>
                <w:szCs w:val="24"/>
              </w:rPr>
              <w:t>执行《环境空气质量标准》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GB3095-2012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及其修改单表2中的二级标准，非甲烷总烃和氯乙烯小时值浓度均符合《大气污染物综合排放标准详解》中推荐值，氯化氢小时平均浓度符合《环境影响评价技术导则 大气环境》（HJ 2.2-2018）中相应标准，具体标准值详见下表。</w:t>
            </w:r>
          </w:p>
          <w:p w14:paraId="6FCF3302">
            <w:pPr>
              <w:pStyle w:val="137"/>
              <w:adjustRightInd w:val="0"/>
              <w:snapToGrid w:val="0"/>
              <w:spacing w:after="0"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rPr>
              <w:noBreakHyphen/>
            </w:r>
            <w:r>
              <w:rPr>
                <w:rFonts w:hint="eastAsia" w:hAnsi="Times New Roman"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环境空气质量评价标准   单位：μg/m</w:t>
            </w:r>
            <w:r>
              <w:rPr>
                <w:rFonts w:hint="default" w:ascii="Times New Roman" w:hAnsi="Times New Roman" w:eastAsia="宋体" w:cs="Times New Roman"/>
                <w:b/>
                <w:bCs/>
                <w:color w:val="auto"/>
                <w:sz w:val="21"/>
                <w:szCs w:val="21"/>
                <w:vertAlign w:val="superscript"/>
              </w:rPr>
              <w:t>3</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0"/>
              <w:gridCol w:w="2310"/>
              <w:gridCol w:w="1791"/>
              <w:gridCol w:w="3454"/>
            </w:tblGrid>
            <w:tr w14:paraId="30BF3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noWrap w:val="0"/>
                  <w:vAlign w:val="center"/>
                </w:tcPr>
                <w:p w14:paraId="052060C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污染物名称</w:t>
                  </w:r>
                </w:p>
              </w:tc>
              <w:tc>
                <w:tcPr>
                  <w:tcW w:w="1243" w:type="pct"/>
                  <w:noWrap w:val="0"/>
                  <w:vAlign w:val="center"/>
                </w:tcPr>
                <w:p w14:paraId="6143982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取值时间</w:t>
                  </w:r>
                </w:p>
              </w:tc>
              <w:tc>
                <w:tcPr>
                  <w:tcW w:w="964" w:type="pct"/>
                  <w:noWrap w:val="0"/>
                  <w:vAlign w:val="center"/>
                </w:tcPr>
                <w:p w14:paraId="03A12B2A">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二级标准</w:t>
                  </w:r>
                </w:p>
              </w:tc>
              <w:tc>
                <w:tcPr>
                  <w:tcW w:w="1859" w:type="pct"/>
                  <w:noWrap w:val="0"/>
                  <w:vAlign w:val="center"/>
                </w:tcPr>
                <w:p w14:paraId="6CB3BD3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14:paraId="54D4C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7DE2C94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p>
              </w:tc>
              <w:tc>
                <w:tcPr>
                  <w:tcW w:w="1243" w:type="pct"/>
                  <w:noWrap w:val="0"/>
                  <w:vAlign w:val="center"/>
                </w:tcPr>
                <w:p w14:paraId="28C4A52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78A9F3C0">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859" w:type="pct"/>
                  <w:vMerge w:val="restart"/>
                  <w:noWrap w:val="0"/>
                  <w:vAlign w:val="center"/>
                </w:tcPr>
                <w:p w14:paraId="55E73B5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《环境空气质量标准》（GB3095-2012）及其修改单表1和表2中的二级标准</w:t>
                  </w:r>
                </w:p>
              </w:tc>
            </w:tr>
            <w:tr w14:paraId="1B93D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30AA9F5D">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7EEBE084">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0CD9EF8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59" w:type="pct"/>
                  <w:vMerge w:val="continue"/>
                  <w:noWrap w:val="0"/>
                  <w:vAlign w:val="center"/>
                </w:tcPr>
                <w:p w14:paraId="569310D2">
                  <w:pPr>
                    <w:spacing w:line="240" w:lineRule="auto"/>
                    <w:ind w:firstLine="0" w:firstLineChars="0"/>
                    <w:jc w:val="center"/>
                    <w:rPr>
                      <w:rFonts w:hint="default" w:ascii="Times New Roman" w:hAnsi="Times New Roman" w:eastAsia="宋体" w:cs="Times New Roman"/>
                      <w:color w:val="auto"/>
                      <w:sz w:val="21"/>
                      <w:szCs w:val="21"/>
                    </w:rPr>
                  </w:pPr>
                </w:p>
              </w:tc>
            </w:tr>
            <w:tr w14:paraId="65B4A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4EB92B1E">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2FE6468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964" w:type="pct"/>
                  <w:noWrap w:val="0"/>
                  <w:vAlign w:val="center"/>
                </w:tcPr>
                <w:p w14:paraId="4337B97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w:t>
                  </w:r>
                </w:p>
              </w:tc>
              <w:tc>
                <w:tcPr>
                  <w:tcW w:w="1859" w:type="pct"/>
                  <w:vMerge w:val="continue"/>
                  <w:noWrap w:val="0"/>
                  <w:vAlign w:val="center"/>
                </w:tcPr>
                <w:p w14:paraId="734D5F88">
                  <w:pPr>
                    <w:spacing w:line="240" w:lineRule="auto"/>
                    <w:ind w:firstLine="0" w:firstLineChars="0"/>
                    <w:jc w:val="center"/>
                    <w:rPr>
                      <w:rFonts w:hint="default" w:ascii="Times New Roman" w:hAnsi="Times New Roman" w:eastAsia="宋体" w:cs="Times New Roman"/>
                      <w:color w:val="auto"/>
                      <w:sz w:val="21"/>
                      <w:szCs w:val="21"/>
                    </w:rPr>
                  </w:pPr>
                </w:p>
              </w:tc>
            </w:tr>
            <w:tr w14:paraId="61EE3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18FAF2F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p>
              </w:tc>
              <w:tc>
                <w:tcPr>
                  <w:tcW w:w="1243" w:type="pct"/>
                  <w:noWrap w:val="0"/>
                  <w:vAlign w:val="center"/>
                </w:tcPr>
                <w:p w14:paraId="338AFB70">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5966C45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859" w:type="pct"/>
                  <w:vMerge w:val="continue"/>
                  <w:noWrap w:val="0"/>
                  <w:vAlign w:val="center"/>
                </w:tcPr>
                <w:p w14:paraId="53DEA51C">
                  <w:pPr>
                    <w:spacing w:line="240" w:lineRule="auto"/>
                    <w:ind w:firstLine="0" w:firstLineChars="0"/>
                    <w:jc w:val="center"/>
                    <w:rPr>
                      <w:rFonts w:hint="default" w:ascii="Times New Roman" w:hAnsi="Times New Roman" w:eastAsia="宋体" w:cs="Times New Roman"/>
                      <w:color w:val="auto"/>
                      <w:sz w:val="21"/>
                      <w:szCs w:val="21"/>
                    </w:rPr>
                  </w:pPr>
                </w:p>
              </w:tc>
            </w:tr>
            <w:tr w14:paraId="128C2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778B3192">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423BD3D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1AC7C91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859" w:type="pct"/>
                  <w:vMerge w:val="continue"/>
                  <w:noWrap w:val="0"/>
                  <w:vAlign w:val="center"/>
                </w:tcPr>
                <w:p w14:paraId="1411A0A3">
                  <w:pPr>
                    <w:spacing w:line="240" w:lineRule="auto"/>
                    <w:ind w:firstLine="0" w:firstLineChars="0"/>
                    <w:jc w:val="center"/>
                    <w:rPr>
                      <w:rFonts w:hint="default" w:ascii="Times New Roman" w:hAnsi="Times New Roman" w:eastAsia="宋体" w:cs="Times New Roman"/>
                      <w:color w:val="auto"/>
                      <w:sz w:val="21"/>
                      <w:szCs w:val="21"/>
                    </w:rPr>
                  </w:pPr>
                </w:p>
              </w:tc>
            </w:tr>
            <w:tr w14:paraId="0C681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4A58F336">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2F9F9AF3">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964" w:type="pct"/>
                  <w:noWrap w:val="0"/>
                  <w:vAlign w:val="center"/>
                </w:tcPr>
                <w:p w14:paraId="41EE3CE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859" w:type="pct"/>
                  <w:vMerge w:val="continue"/>
                  <w:noWrap w:val="0"/>
                  <w:vAlign w:val="center"/>
                </w:tcPr>
                <w:p w14:paraId="2E64AE4C">
                  <w:pPr>
                    <w:spacing w:line="240" w:lineRule="auto"/>
                    <w:ind w:firstLine="0" w:firstLineChars="0"/>
                    <w:jc w:val="center"/>
                    <w:rPr>
                      <w:rFonts w:hint="default" w:ascii="Times New Roman" w:hAnsi="Times New Roman" w:eastAsia="宋体" w:cs="Times New Roman"/>
                      <w:color w:val="auto"/>
                      <w:sz w:val="21"/>
                      <w:szCs w:val="21"/>
                    </w:rPr>
                  </w:pPr>
                </w:p>
              </w:tc>
            </w:tr>
            <w:tr w14:paraId="21271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3B8DA35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w:t>
                  </w:r>
                </w:p>
              </w:tc>
              <w:tc>
                <w:tcPr>
                  <w:tcW w:w="1243" w:type="pct"/>
                  <w:noWrap w:val="0"/>
                  <w:vAlign w:val="center"/>
                </w:tcPr>
                <w:p w14:paraId="096F360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70154F2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4000</w:t>
                  </w:r>
                </w:p>
              </w:tc>
              <w:tc>
                <w:tcPr>
                  <w:tcW w:w="1859" w:type="pct"/>
                  <w:vMerge w:val="continue"/>
                  <w:noWrap w:val="0"/>
                  <w:vAlign w:val="center"/>
                </w:tcPr>
                <w:p w14:paraId="69A53118">
                  <w:pPr>
                    <w:spacing w:line="240" w:lineRule="auto"/>
                    <w:ind w:firstLine="0" w:firstLineChars="0"/>
                    <w:jc w:val="center"/>
                    <w:rPr>
                      <w:rFonts w:hint="default" w:ascii="Times New Roman" w:hAnsi="Times New Roman" w:eastAsia="宋体" w:cs="Times New Roman"/>
                      <w:color w:val="auto"/>
                      <w:sz w:val="21"/>
                      <w:szCs w:val="21"/>
                    </w:rPr>
                  </w:pPr>
                </w:p>
              </w:tc>
            </w:tr>
            <w:tr w14:paraId="6FF8E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0665C327">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5498A8B3">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964" w:type="pct"/>
                  <w:noWrap w:val="0"/>
                  <w:vAlign w:val="center"/>
                </w:tcPr>
                <w:p w14:paraId="416029E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10000</w:t>
                  </w:r>
                </w:p>
              </w:tc>
              <w:tc>
                <w:tcPr>
                  <w:tcW w:w="1859" w:type="pct"/>
                  <w:vMerge w:val="continue"/>
                  <w:noWrap w:val="0"/>
                  <w:vAlign w:val="center"/>
                </w:tcPr>
                <w:p w14:paraId="1816F877">
                  <w:pPr>
                    <w:spacing w:line="240" w:lineRule="auto"/>
                    <w:ind w:firstLine="0" w:firstLineChars="0"/>
                    <w:jc w:val="center"/>
                    <w:rPr>
                      <w:rFonts w:hint="default" w:ascii="Times New Roman" w:hAnsi="Times New Roman" w:eastAsia="宋体" w:cs="Times New Roman"/>
                      <w:color w:val="auto"/>
                      <w:sz w:val="21"/>
                      <w:szCs w:val="21"/>
                    </w:rPr>
                  </w:pPr>
                </w:p>
              </w:tc>
            </w:tr>
            <w:tr w14:paraId="2B2FB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55E40F6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1243" w:type="pct"/>
                  <w:noWrap w:val="0"/>
                  <w:vAlign w:val="center"/>
                </w:tcPr>
                <w:p w14:paraId="6B8380A0">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日最大8小时平均</w:t>
                  </w:r>
                </w:p>
              </w:tc>
              <w:tc>
                <w:tcPr>
                  <w:tcW w:w="964" w:type="pct"/>
                  <w:noWrap w:val="0"/>
                  <w:vAlign w:val="center"/>
                </w:tcPr>
                <w:p w14:paraId="6E503A6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w:t>
                  </w:r>
                </w:p>
              </w:tc>
              <w:tc>
                <w:tcPr>
                  <w:tcW w:w="1859" w:type="pct"/>
                  <w:vMerge w:val="continue"/>
                  <w:noWrap w:val="0"/>
                  <w:vAlign w:val="center"/>
                </w:tcPr>
                <w:p w14:paraId="07509E6C">
                  <w:pPr>
                    <w:spacing w:line="240" w:lineRule="auto"/>
                    <w:ind w:firstLine="0" w:firstLineChars="0"/>
                    <w:jc w:val="center"/>
                    <w:rPr>
                      <w:rFonts w:hint="default" w:ascii="Times New Roman" w:hAnsi="Times New Roman" w:eastAsia="宋体" w:cs="Times New Roman"/>
                      <w:color w:val="auto"/>
                      <w:sz w:val="21"/>
                      <w:szCs w:val="21"/>
                    </w:rPr>
                  </w:pPr>
                </w:p>
              </w:tc>
            </w:tr>
            <w:tr w14:paraId="1B4AA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5A025D59">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1750E23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964" w:type="pct"/>
                  <w:noWrap w:val="0"/>
                  <w:vAlign w:val="center"/>
                </w:tcPr>
                <w:p w14:paraId="33FB8D0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859" w:type="pct"/>
                  <w:vMerge w:val="continue"/>
                  <w:noWrap w:val="0"/>
                  <w:vAlign w:val="center"/>
                </w:tcPr>
                <w:p w14:paraId="7AED38FA">
                  <w:pPr>
                    <w:spacing w:line="240" w:lineRule="auto"/>
                    <w:ind w:firstLine="0" w:firstLineChars="0"/>
                    <w:jc w:val="center"/>
                    <w:rPr>
                      <w:rFonts w:hint="default" w:ascii="Times New Roman" w:hAnsi="Times New Roman" w:eastAsia="宋体" w:cs="Times New Roman"/>
                      <w:color w:val="auto"/>
                      <w:sz w:val="21"/>
                      <w:szCs w:val="21"/>
                    </w:rPr>
                  </w:pPr>
                </w:p>
              </w:tc>
            </w:tr>
            <w:tr w14:paraId="36BD6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5188524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p>
              </w:tc>
              <w:tc>
                <w:tcPr>
                  <w:tcW w:w="1243" w:type="pct"/>
                  <w:noWrap w:val="0"/>
                  <w:vAlign w:val="center"/>
                </w:tcPr>
                <w:p w14:paraId="17ACD5A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1EAE739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859" w:type="pct"/>
                  <w:vMerge w:val="continue"/>
                  <w:noWrap w:val="0"/>
                  <w:vAlign w:val="center"/>
                </w:tcPr>
                <w:p w14:paraId="45601434">
                  <w:pPr>
                    <w:spacing w:line="240" w:lineRule="auto"/>
                    <w:ind w:firstLine="0" w:firstLineChars="0"/>
                    <w:jc w:val="center"/>
                    <w:rPr>
                      <w:rFonts w:hint="default" w:ascii="Times New Roman" w:hAnsi="Times New Roman" w:eastAsia="宋体" w:cs="Times New Roman"/>
                      <w:color w:val="auto"/>
                      <w:sz w:val="21"/>
                      <w:szCs w:val="21"/>
                    </w:rPr>
                  </w:pPr>
                </w:p>
              </w:tc>
            </w:tr>
            <w:tr w14:paraId="57D57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67C2AF8A">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4C4DCEB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2602343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859" w:type="pct"/>
                  <w:vMerge w:val="continue"/>
                  <w:noWrap w:val="0"/>
                  <w:vAlign w:val="center"/>
                </w:tcPr>
                <w:p w14:paraId="2B3B7C3B">
                  <w:pPr>
                    <w:spacing w:line="240" w:lineRule="auto"/>
                    <w:ind w:firstLine="0" w:firstLineChars="0"/>
                    <w:jc w:val="center"/>
                    <w:rPr>
                      <w:rFonts w:hint="default" w:ascii="Times New Roman" w:hAnsi="Times New Roman" w:eastAsia="宋体" w:cs="Times New Roman"/>
                      <w:color w:val="auto"/>
                      <w:sz w:val="21"/>
                      <w:szCs w:val="21"/>
                    </w:rPr>
                  </w:pPr>
                </w:p>
              </w:tc>
            </w:tr>
            <w:tr w14:paraId="2E1E9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3B664B4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p>
              </w:tc>
              <w:tc>
                <w:tcPr>
                  <w:tcW w:w="1243" w:type="pct"/>
                  <w:noWrap w:val="0"/>
                  <w:vAlign w:val="center"/>
                </w:tcPr>
                <w:p w14:paraId="1B726BE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6FBD6ED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859" w:type="pct"/>
                  <w:vMerge w:val="continue"/>
                  <w:noWrap w:val="0"/>
                  <w:vAlign w:val="center"/>
                </w:tcPr>
                <w:p w14:paraId="26287647">
                  <w:pPr>
                    <w:spacing w:line="240" w:lineRule="auto"/>
                    <w:ind w:firstLine="0" w:firstLineChars="0"/>
                    <w:jc w:val="center"/>
                    <w:rPr>
                      <w:rFonts w:hint="default" w:ascii="Times New Roman" w:hAnsi="Times New Roman" w:eastAsia="宋体" w:cs="Times New Roman"/>
                      <w:color w:val="auto"/>
                      <w:sz w:val="21"/>
                      <w:szCs w:val="21"/>
                    </w:rPr>
                  </w:pPr>
                </w:p>
              </w:tc>
            </w:tr>
            <w:tr w14:paraId="7E146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42580C5A">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4F95D16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6BB0F41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w:t>
                  </w:r>
                </w:p>
              </w:tc>
              <w:tc>
                <w:tcPr>
                  <w:tcW w:w="1859" w:type="pct"/>
                  <w:vMerge w:val="continue"/>
                  <w:noWrap w:val="0"/>
                  <w:vAlign w:val="center"/>
                </w:tcPr>
                <w:p w14:paraId="784ED1F6">
                  <w:pPr>
                    <w:spacing w:line="240" w:lineRule="auto"/>
                    <w:ind w:firstLine="0" w:firstLineChars="0"/>
                    <w:jc w:val="center"/>
                    <w:rPr>
                      <w:rFonts w:hint="default" w:ascii="Times New Roman" w:hAnsi="Times New Roman" w:eastAsia="宋体" w:cs="Times New Roman"/>
                      <w:color w:val="auto"/>
                      <w:sz w:val="21"/>
                      <w:szCs w:val="21"/>
                    </w:rPr>
                  </w:pPr>
                </w:p>
              </w:tc>
            </w:tr>
            <w:tr w14:paraId="099C8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60F3AD0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TSP</w:t>
                  </w:r>
                </w:p>
              </w:tc>
              <w:tc>
                <w:tcPr>
                  <w:tcW w:w="1243" w:type="pct"/>
                  <w:noWrap w:val="0"/>
                  <w:vAlign w:val="center"/>
                </w:tcPr>
                <w:p w14:paraId="1B86106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0AE8651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859" w:type="pct"/>
                  <w:vMerge w:val="continue"/>
                  <w:noWrap w:val="0"/>
                  <w:vAlign w:val="center"/>
                </w:tcPr>
                <w:p w14:paraId="083ABC9F">
                  <w:pPr>
                    <w:spacing w:line="240" w:lineRule="auto"/>
                    <w:ind w:firstLine="0" w:firstLineChars="0"/>
                    <w:jc w:val="center"/>
                    <w:rPr>
                      <w:rFonts w:hint="default" w:ascii="Times New Roman" w:hAnsi="Times New Roman" w:eastAsia="宋体" w:cs="Times New Roman"/>
                      <w:color w:val="auto"/>
                      <w:sz w:val="21"/>
                      <w:szCs w:val="21"/>
                    </w:rPr>
                  </w:pPr>
                </w:p>
              </w:tc>
            </w:tr>
            <w:tr w14:paraId="2164D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323B8A98">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5B12435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68911D8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300</w:t>
                  </w:r>
                </w:p>
              </w:tc>
              <w:tc>
                <w:tcPr>
                  <w:tcW w:w="1859" w:type="pct"/>
                  <w:vMerge w:val="continue"/>
                  <w:noWrap w:val="0"/>
                  <w:vAlign w:val="center"/>
                </w:tcPr>
                <w:p w14:paraId="507F414F">
                  <w:pPr>
                    <w:spacing w:line="240" w:lineRule="auto"/>
                    <w:ind w:firstLine="0" w:firstLineChars="0"/>
                    <w:jc w:val="center"/>
                    <w:rPr>
                      <w:rFonts w:hint="default" w:ascii="Times New Roman" w:hAnsi="Times New Roman" w:eastAsia="宋体" w:cs="Times New Roman"/>
                      <w:color w:val="auto"/>
                      <w:sz w:val="21"/>
                      <w:szCs w:val="21"/>
                    </w:rPr>
                  </w:pPr>
                </w:p>
              </w:tc>
            </w:tr>
            <w:tr w14:paraId="65F4A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restart"/>
                  <w:noWrap w:val="0"/>
                  <w:vAlign w:val="center"/>
                </w:tcPr>
                <w:p w14:paraId="3E73A29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X</w:t>
                  </w:r>
                </w:p>
              </w:tc>
              <w:tc>
                <w:tcPr>
                  <w:tcW w:w="1243" w:type="pct"/>
                  <w:noWrap w:val="0"/>
                  <w:vAlign w:val="center"/>
                </w:tcPr>
                <w:p w14:paraId="1705B74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w:t>
                  </w:r>
                </w:p>
              </w:tc>
              <w:tc>
                <w:tcPr>
                  <w:tcW w:w="964" w:type="pct"/>
                  <w:noWrap w:val="0"/>
                  <w:vAlign w:val="center"/>
                </w:tcPr>
                <w:p w14:paraId="3C4E9A4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1859" w:type="pct"/>
                  <w:vMerge w:val="continue"/>
                  <w:noWrap w:val="0"/>
                  <w:vAlign w:val="center"/>
                </w:tcPr>
                <w:p w14:paraId="07A0092C">
                  <w:pPr>
                    <w:spacing w:line="240" w:lineRule="auto"/>
                    <w:ind w:firstLine="0" w:firstLineChars="0"/>
                    <w:jc w:val="center"/>
                    <w:rPr>
                      <w:rFonts w:hint="default" w:ascii="Times New Roman" w:hAnsi="Times New Roman" w:eastAsia="宋体" w:cs="Times New Roman"/>
                      <w:color w:val="auto"/>
                      <w:sz w:val="21"/>
                      <w:szCs w:val="21"/>
                    </w:rPr>
                  </w:pPr>
                </w:p>
              </w:tc>
            </w:tr>
            <w:tr w14:paraId="0553B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57FE10BA">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7FE972BC">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24小时平均</w:t>
                  </w:r>
                </w:p>
              </w:tc>
              <w:tc>
                <w:tcPr>
                  <w:tcW w:w="964" w:type="pct"/>
                  <w:noWrap w:val="0"/>
                  <w:vAlign w:val="center"/>
                </w:tcPr>
                <w:p w14:paraId="2266440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1859" w:type="pct"/>
                  <w:vMerge w:val="continue"/>
                  <w:noWrap w:val="0"/>
                  <w:vAlign w:val="center"/>
                </w:tcPr>
                <w:p w14:paraId="59F08C0E">
                  <w:pPr>
                    <w:spacing w:line="240" w:lineRule="auto"/>
                    <w:ind w:firstLine="0" w:firstLineChars="0"/>
                    <w:jc w:val="center"/>
                    <w:rPr>
                      <w:rFonts w:hint="default" w:ascii="Times New Roman" w:hAnsi="Times New Roman" w:eastAsia="宋体" w:cs="Times New Roman"/>
                      <w:color w:val="auto"/>
                      <w:sz w:val="21"/>
                      <w:szCs w:val="21"/>
                    </w:rPr>
                  </w:pPr>
                </w:p>
              </w:tc>
            </w:tr>
            <w:tr w14:paraId="7D262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vMerge w:val="continue"/>
                  <w:noWrap w:val="0"/>
                  <w:vAlign w:val="center"/>
                </w:tcPr>
                <w:p w14:paraId="6CC5586B">
                  <w:pPr>
                    <w:spacing w:line="240" w:lineRule="auto"/>
                    <w:ind w:firstLine="0" w:firstLineChars="0"/>
                    <w:jc w:val="center"/>
                    <w:rPr>
                      <w:rFonts w:hint="default" w:ascii="Times New Roman" w:hAnsi="Times New Roman" w:eastAsia="宋体" w:cs="Times New Roman"/>
                      <w:color w:val="auto"/>
                      <w:sz w:val="21"/>
                      <w:szCs w:val="21"/>
                    </w:rPr>
                  </w:pPr>
                </w:p>
              </w:tc>
              <w:tc>
                <w:tcPr>
                  <w:tcW w:w="1243" w:type="pct"/>
                  <w:noWrap w:val="0"/>
                  <w:vAlign w:val="center"/>
                </w:tcPr>
                <w:p w14:paraId="5E9A93A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1小时平均</w:t>
                  </w:r>
                </w:p>
              </w:tc>
              <w:tc>
                <w:tcPr>
                  <w:tcW w:w="964" w:type="pct"/>
                  <w:noWrap w:val="0"/>
                  <w:vAlign w:val="center"/>
                </w:tcPr>
                <w:p w14:paraId="1B5C968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1859" w:type="pct"/>
                  <w:vMerge w:val="continue"/>
                  <w:noWrap w:val="0"/>
                  <w:vAlign w:val="center"/>
                </w:tcPr>
                <w:p w14:paraId="183C2DEE">
                  <w:pPr>
                    <w:spacing w:line="240" w:lineRule="auto"/>
                    <w:ind w:firstLine="0" w:firstLineChars="0"/>
                    <w:jc w:val="center"/>
                    <w:rPr>
                      <w:rFonts w:hint="default" w:ascii="Times New Roman" w:hAnsi="Times New Roman" w:eastAsia="宋体" w:cs="Times New Roman"/>
                      <w:color w:val="auto"/>
                      <w:sz w:val="21"/>
                      <w:szCs w:val="21"/>
                    </w:rPr>
                  </w:pPr>
                </w:p>
              </w:tc>
            </w:tr>
            <w:tr w14:paraId="25B2F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noWrap w:val="0"/>
                  <w:vAlign w:val="center"/>
                </w:tcPr>
                <w:p w14:paraId="6CB2CD0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非甲烷总烃</w:t>
                  </w:r>
                </w:p>
              </w:tc>
              <w:tc>
                <w:tcPr>
                  <w:tcW w:w="1243" w:type="pct"/>
                  <w:noWrap w:val="0"/>
                  <w:vAlign w:val="center"/>
                </w:tcPr>
                <w:p w14:paraId="3F472770">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1小时平均</w:t>
                  </w:r>
                </w:p>
              </w:tc>
              <w:tc>
                <w:tcPr>
                  <w:tcW w:w="964" w:type="pct"/>
                  <w:noWrap w:val="0"/>
                  <w:vAlign w:val="center"/>
                </w:tcPr>
                <w:p w14:paraId="53364C5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859" w:type="pct"/>
                  <w:vMerge w:val="restart"/>
                  <w:noWrap w:val="0"/>
                  <w:vAlign w:val="center"/>
                </w:tcPr>
                <w:p w14:paraId="3730780B">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《大气污染物综合排放标准详解》</w:t>
                  </w:r>
                </w:p>
              </w:tc>
            </w:tr>
            <w:tr w14:paraId="1D50E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noWrap w:val="0"/>
                  <w:vAlign w:val="center"/>
                </w:tcPr>
                <w:p w14:paraId="514AF6BB">
                  <w:pPr>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氯乙烯</w:t>
                  </w:r>
                </w:p>
              </w:tc>
              <w:tc>
                <w:tcPr>
                  <w:tcW w:w="1243" w:type="pct"/>
                  <w:noWrap w:val="0"/>
                  <w:vAlign w:val="center"/>
                </w:tcPr>
                <w:p w14:paraId="388148B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1小时平均</w:t>
                  </w:r>
                </w:p>
              </w:tc>
              <w:tc>
                <w:tcPr>
                  <w:tcW w:w="964" w:type="pct"/>
                  <w:noWrap w:val="0"/>
                  <w:vAlign w:val="center"/>
                </w:tcPr>
                <w:p w14:paraId="4EF7D2A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150</w:t>
                  </w:r>
                </w:p>
              </w:tc>
              <w:tc>
                <w:tcPr>
                  <w:tcW w:w="1859" w:type="pct"/>
                  <w:vMerge w:val="continue"/>
                  <w:noWrap w:val="0"/>
                  <w:vAlign w:val="center"/>
                </w:tcPr>
                <w:p w14:paraId="1833529C">
                  <w:pPr>
                    <w:spacing w:line="240" w:lineRule="auto"/>
                    <w:ind w:firstLine="0" w:firstLineChars="0"/>
                    <w:jc w:val="center"/>
                    <w:rPr>
                      <w:rFonts w:hint="default" w:ascii="Times New Roman" w:hAnsi="Times New Roman" w:eastAsia="宋体" w:cs="Times New Roman"/>
                      <w:color w:val="auto"/>
                      <w:sz w:val="21"/>
                      <w:szCs w:val="21"/>
                    </w:rPr>
                  </w:pPr>
                </w:p>
              </w:tc>
            </w:tr>
            <w:tr w14:paraId="4C71B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1" w:type="pct"/>
                  <w:noWrap w:val="0"/>
                  <w:vAlign w:val="center"/>
                </w:tcPr>
                <w:p w14:paraId="3CD41188">
                  <w:pPr>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氯化氢</w:t>
                  </w:r>
                </w:p>
              </w:tc>
              <w:tc>
                <w:tcPr>
                  <w:tcW w:w="1243" w:type="pct"/>
                  <w:noWrap w:val="0"/>
                  <w:vAlign w:val="center"/>
                </w:tcPr>
                <w:p w14:paraId="3F8EDED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1小时平均</w:t>
                  </w:r>
                </w:p>
              </w:tc>
              <w:tc>
                <w:tcPr>
                  <w:tcW w:w="964" w:type="pct"/>
                  <w:noWrap w:val="0"/>
                  <w:vAlign w:val="center"/>
                </w:tcPr>
                <w:p w14:paraId="007FBA7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1859" w:type="pct"/>
                  <w:noWrap w:val="0"/>
                  <w:vAlign w:val="center"/>
                </w:tcPr>
                <w:p w14:paraId="3C236FD5">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《环境影响评价技术导则 大气环境》（HJ 2.2-2018）</w:t>
                  </w:r>
                </w:p>
              </w:tc>
            </w:tr>
          </w:tbl>
          <w:p w14:paraId="5A0BFBA5">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2.2环境空气质量状况</w:t>
            </w:r>
          </w:p>
          <w:p w14:paraId="5FF9154C">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（1）基本污染物</w:t>
            </w:r>
          </w:p>
          <w:p w14:paraId="7640D5C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项目所在区域基本污染物的环境质量达标情况采用《</w:t>
            </w:r>
            <w:r>
              <w:rPr>
                <w:rFonts w:hint="default" w:ascii="Times New Roman" w:hAnsi="Times New Roman" w:eastAsia="宋体" w:cs="Times New Roman"/>
                <w:color w:val="auto"/>
                <w:sz w:val="24"/>
                <w:szCs w:val="24"/>
                <w:lang w:eastAsia="zh-CN"/>
              </w:rPr>
              <w:t>2024年常州市生态环境质量状况公报</w:t>
            </w:r>
            <w:r>
              <w:rPr>
                <w:rFonts w:hint="default" w:ascii="Times New Roman" w:hAnsi="Times New Roman" w:eastAsia="宋体" w:cs="Times New Roman"/>
                <w:color w:val="auto"/>
                <w:sz w:val="24"/>
                <w:szCs w:val="24"/>
              </w:rPr>
              <w:t>》中的数据进行分析评价，公报数据如下。</w:t>
            </w:r>
          </w:p>
          <w:p w14:paraId="166CD2FB">
            <w:pPr>
              <w:pStyle w:val="137"/>
              <w:adjustRightInd w:val="0"/>
              <w:snapToGrid w:val="0"/>
              <w:spacing w:after="0"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hAnsi="Times New Roman"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区域空气质量现状评价表</w:t>
            </w:r>
          </w:p>
          <w:tbl>
            <w:tblPr>
              <w:tblStyle w:val="44"/>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57"/>
              <w:gridCol w:w="808"/>
              <w:gridCol w:w="2394"/>
              <w:gridCol w:w="1162"/>
              <w:gridCol w:w="1075"/>
              <w:gridCol w:w="1231"/>
              <w:gridCol w:w="1023"/>
              <w:gridCol w:w="1029"/>
            </w:tblGrid>
            <w:tr w14:paraId="4859F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noWrap w:val="0"/>
                  <w:vAlign w:val="center"/>
                </w:tcPr>
                <w:p w14:paraId="241867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区域</w:t>
                  </w:r>
                </w:p>
              </w:tc>
              <w:tc>
                <w:tcPr>
                  <w:tcW w:w="435" w:type="pct"/>
                  <w:noWrap w:val="0"/>
                  <w:vAlign w:val="center"/>
                </w:tcPr>
                <w:p w14:paraId="72013B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污染物</w:t>
                  </w:r>
                </w:p>
              </w:tc>
              <w:tc>
                <w:tcPr>
                  <w:tcW w:w="1289" w:type="pct"/>
                  <w:noWrap w:val="0"/>
                  <w:vAlign w:val="center"/>
                </w:tcPr>
                <w:p w14:paraId="591450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年评价指标</w:t>
                  </w:r>
                </w:p>
              </w:tc>
              <w:tc>
                <w:tcPr>
                  <w:tcW w:w="626" w:type="pct"/>
                  <w:noWrap w:val="0"/>
                  <w:vAlign w:val="center"/>
                </w:tcPr>
                <w:p w14:paraId="57359C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现状浓度</w:t>
                  </w:r>
                </w:p>
                <w:p w14:paraId="701419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lang w:eastAsia="zh-CN"/>
                    </w:rPr>
                    <w:t>(</w:t>
                  </w:r>
                  <w:r>
                    <w:rPr>
                      <w:rFonts w:hint="default" w:ascii="Times New Roman" w:hAnsi="Times New Roman" w:eastAsia="宋体" w:cs="Times New Roman"/>
                      <w:b/>
                      <w:bCs/>
                      <w:caps w:val="0"/>
                      <w:smallCaps w:val="0"/>
                      <w:color w:val="auto"/>
                      <w:spacing w:val="0"/>
                      <w:sz w:val="21"/>
                      <w:szCs w:val="21"/>
                    </w:rPr>
                    <w:t>μg/m</w:t>
                  </w:r>
                  <w:r>
                    <w:rPr>
                      <w:rFonts w:hint="default" w:ascii="Times New Roman" w:hAnsi="Times New Roman" w:eastAsia="宋体" w:cs="Times New Roman"/>
                      <w:b/>
                      <w:bCs/>
                      <w:caps w:val="0"/>
                      <w:smallCaps w:val="0"/>
                      <w:color w:val="auto"/>
                      <w:spacing w:val="0"/>
                      <w:sz w:val="21"/>
                      <w:szCs w:val="21"/>
                      <w:vertAlign w:val="superscript"/>
                    </w:rPr>
                    <w:t>3</w:t>
                  </w:r>
                  <w:r>
                    <w:rPr>
                      <w:rFonts w:hint="default" w:ascii="Times New Roman" w:hAnsi="Times New Roman" w:eastAsia="宋体" w:cs="Times New Roman"/>
                      <w:b/>
                      <w:bCs/>
                      <w:caps w:val="0"/>
                      <w:smallCaps w:val="0"/>
                      <w:color w:val="auto"/>
                      <w:spacing w:val="0"/>
                      <w:sz w:val="21"/>
                      <w:szCs w:val="21"/>
                      <w:vertAlign w:val="superscript"/>
                      <w:lang w:eastAsia="zh-CN"/>
                    </w:rPr>
                    <w:t>)</w:t>
                  </w:r>
                </w:p>
              </w:tc>
              <w:tc>
                <w:tcPr>
                  <w:tcW w:w="579" w:type="pct"/>
                  <w:noWrap w:val="0"/>
                  <w:vAlign w:val="center"/>
                </w:tcPr>
                <w:p w14:paraId="23BA1C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标准值</w:t>
                  </w:r>
                </w:p>
                <w:p w14:paraId="0FBB4A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lang w:eastAsia="zh-CN"/>
                    </w:rPr>
                    <w:t>(</w:t>
                  </w:r>
                  <w:r>
                    <w:rPr>
                      <w:rFonts w:hint="default" w:ascii="Times New Roman" w:hAnsi="Times New Roman" w:eastAsia="宋体" w:cs="Times New Roman"/>
                      <w:b/>
                      <w:bCs/>
                      <w:caps w:val="0"/>
                      <w:smallCaps w:val="0"/>
                      <w:color w:val="auto"/>
                      <w:spacing w:val="0"/>
                      <w:sz w:val="21"/>
                      <w:szCs w:val="21"/>
                    </w:rPr>
                    <w:t>μg/m</w:t>
                  </w:r>
                  <w:r>
                    <w:rPr>
                      <w:rFonts w:hint="default" w:ascii="Times New Roman" w:hAnsi="Times New Roman" w:eastAsia="宋体" w:cs="Times New Roman"/>
                      <w:b/>
                      <w:bCs/>
                      <w:caps w:val="0"/>
                      <w:smallCaps w:val="0"/>
                      <w:color w:val="auto"/>
                      <w:spacing w:val="0"/>
                      <w:sz w:val="21"/>
                      <w:szCs w:val="21"/>
                      <w:vertAlign w:val="superscript"/>
                    </w:rPr>
                    <w:t>3</w:t>
                  </w:r>
                  <w:r>
                    <w:rPr>
                      <w:rFonts w:hint="default" w:ascii="Times New Roman" w:hAnsi="Times New Roman" w:eastAsia="宋体" w:cs="Times New Roman"/>
                      <w:b/>
                      <w:bCs/>
                      <w:caps w:val="0"/>
                      <w:smallCaps w:val="0"/>
                      <w:color w:val="auto"/>
                      <w:spacing w:val="0"/>
                      <w:sz w:val="21"/>
                      <w:szCs w:val="21"/>
                      <w:vertAlign w:val="superscript"/>
                      <w:lang w:eastAsia="zh-CN"/>
                    </w:rPr>
                    <w:t>)</w:t>
                  </w:r>
                </w:p>
              </w:tc>
              <w:tc>
                <w:tcPr>
                  <w:tcW w:w="663" w:type="pct"/>
                  <w:noWrap w:val="0"/>
                  <w:vAlign w:val="center"/>
                </w:tcPr>
                <w:p w14:paraId="7700D4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占标率（%）</w:t>
                  </w:r>
                </w:p>
              </w:tc>
              <w:tc>
                <w:tcPr>
                  <w:tcW w:w="551" w:type="pct"/>
                  <w:noWrap w:val="0"/>
                  <w:vAlign w:val="center"/>
                </w:tcPr>
                <w:p w14:paraId="0416AD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rPr>
                  </w:pPr>
                  <w:r>
                    <w:rPr>
                      <w:rFonts w:hint="default" w:ascii="Times New Roman" w:hAnsi="Times New Roman" w:eastAsia="宋体" w:cs="Times New Roman"/>
                      <w:b/>
                      <w:bCs/>
                      <w:caps w:val="0"/>
                      <w:smallCaps w:val="0"/>
                      <w:color w:val="auto"/>
                      <w:spacing w:val="0"/>
                      <w:sz w:val="21"/>
                      <w:szCs w:val="21"/>
                    </w:rPr>
                    <w:t>达标情况</w:t>
                  </w:r>
                </w:p>
              </w:tc>
              <w:tc>
                <w:tcPr>
                  <w:tcW w:w="554" w:type="pct"/>
                  <w:noWrap w:val="0"/>
                  <w:vAlign w:val="center"/>
                </w:tcPr>
                <w:p w14:paraId="51A9CC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sz w:val="21"/>
                      <w:szCs w:val="21"/>
                      <w:lang w:val="en-US" w:eastAsia="zh-CN"/>
                    </w:rPr>
                  </w:pPr>
                  <w:r>
                    <w:rPr>
                      <w:rFonts w:hint="default" w:ascii="Times New Roman" w:hAnsi="Times New Roman" w:eastAsia="宋体" w:cs="Times New Roman"/>
                      <w:b/>
                      <w:bCs/>
                      <w:caps w:val="0"/>
                      <w:smallCaps w:val="0"/>
                      <w:color w:val="auto"/>
                      <w:spacing w:val="0"/>
                      <w:sz w:val="21"/>
                      <w:szCs w:val="21"/>
                      <w:lang w:val="en-US" w:eastAsia="zh-CN"/>
                    </w:rPr>
                    <w:t>超标率（%）</w:t>
                  </w:r>
                </w:p>
              </w:tc>
            </w:tr>
            <w:tr w14:paraId="510B2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restart"/>
                  <w:noWrap w:val="0"/>
                  <w:vAlign w:val="center"/>
                </w:tcPr>
                <w:p w14:paraId="50DC48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r>
                    <w:rPr>
                      <w:rFonts w:hint="default" w:ascii="Times New Roman" w:hAnsi="Times New Roman" w:eastAsia="宋体" w:cs="Times New Roman"/>
                      <w:caps w:val="0"/>
                      <w:smallCaps w:val="0"/>
                      <w:color w:val="auto"/>
                      <w:spacing w:val="0"/>
                      <w:sz w:val="21"/>
                      <w:szCs w:val="21"/>
                    </w:rPr>
                    <w:t>常州全市</w:t>
                  </w:r>
                </w:p>
              </w:tc>
              <w:tc>
                <w:tcPr>
                  <w:tcW w:w="435" w:type="pct"/>
                  <w:vMerge w:val="restart"/>
                  <w:noWrap w:val="0"/>
                  <w:vAlign w:val="center"/>
                </w:tcPr>
                <w:p w14:paraId="5BB97A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SO</w:t>
                  </w:r>
                  <w:r>
                    <w:rPr>
                      <w:rFonts w:hint="default" w:ascii="Times New Roman" w:hAnsi="Times New Roman" w:eastAsia="宋体" w:cs="Times New Roman"/>
                      <w:caps w:val="0"/>
                      <w:smallCaps w:val="0"/>
                      <w:color w:val="auto"/>
                      <w:spacing w:val="0"/>
                      <w:sz w:val="21"/>
                      <w:szCs w:val="21"/>
                      <w:highlight w:val="none"/>
                      <w:vertAlign w:val="subscript"/>
                    </w:rPr>
                    <w:t>2</w:t>
                  </w:r>
                </w:p>
              </w:tc>
              <w:tc>
                <w:tcPr>
                  <w:tcW w:w="1289" w:type="pct"/>
                  <w:noWrap w:val="0"/>
                  <w:vAlign w:val="center"/>
                </w:tcPr>
                <w:p w14:paraId="1231BC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年平均质量浓度</w:t>
                  </w:r>
                </w:p>
              </w:tc>
              <w:tc>
                <w:tcPr>
                  <w:tcW w:w="626" w:type="pct"/>
                  <w:noWrap w:val="0"/>
                  <w:vAlign w:val="center"/>
                </w:tcPr>
                <w:p w14:paraId="047E1C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8</w:t>
                  </w:r>
                </w:p>
              </w:tc>
              <w:tc>
                <w:tcPr>
                  <w:tcW w:w="579" w:type="pct"/>
                  <w:noWrap w:val="0"/>
                  <w:vAlign w:val="center"/>
                </w:tcPr>
                <w:p w14:paraId="529489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60</w:t>
                  </w:r>
                </w:p>
              </w:tc>
              <w:tc>
                <w:tcPr>
                  <w:tcW w:w="663" w:type="pct"/>
                  <w:noWrap w:val="0"/>
                  <w:vAlign w:val="center"/>
                </w:tcPr>
                <w:p w14:paraId="69AF6C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13.33</w:t>
                  </w:r>
                </w:p>
              </w:tc>
              <w:tc>
                <w:tcPr>
                  <w:tcW w:w="551" w:type="pct"/>
                  <w:vMerge w:val="restart"/>
                  <w:noWrap w:val="0"/>
                  <w:vAlign w:val="center"/>
                </w:tcPr>
                <w:p w14:paraId="48391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达标</w:t>
                  </w:r>
                </w:p>
              </w:tc>
              <w:tc>
                <w:tcPr>
                  <w:tcW w:w="554" w:type="pct"/>
                  <w:vMerge w:val="restart"/>
                  <w:noWrap w:val="0"/>
                  <w:vAlign w:val="center"/>
                </w:tcPr>
                <w:p w14:paraId="586144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w:t>
                  </w:r>
                </w:p>
              </w:tc>
            </w:tr>
            <w:tr w14:paraId="09C20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center"/>
                </w:tcPr>
                <w:p w14:paraId="15DBD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continue"/>
                  <w:noWrap w:val="0"/>
                  <w:vAlign w:val="center"/>
                </w:tcPr>
                <w:p w14:paraId="5F212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rPr>
                  </w:pPr>
                </w:p>
              </w:tc>
              <w:tc>
                <w:tcPr>
                  <w:tcW w:w="1289" w:type="pct"/>
                  <w:noWrap w:val="0"/>
                  <w:vAlign w:val="center"/>
                </w:tcPr>
                <w:p w14:paraId="47835F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rPr>
                    <w:t>日</w:t>
                  </w:r>
                  <w:r>
                    <w:rPr>
                      <w:rFonts w:hint="default" w:ascii="Times New Roman" w:hAnsi="Times New Roman" w:eastAsia="宋体" w:cs="Times New Roman"/>
                      <w:caps w:val="0"/>
                      <w:smallCaps w:val="0"/>
                      <w:color w:val="auto"/>
                      <w:spacing w:val="0"/>
                      <w:sz w:val="21"/>
                      <w:szCs w:val="21"/>
                      <w:highlight w:val="none"/>
                      <w:lang w:val="en-US" w:eastAsia="zh-CN"/>
                    </w:rPr>
                    <w:t>均值浓度</w:t>
                  </w:r>
                </w:p>
              </w:tc>
              <w:tc>
                <w:tcPr>
                  <w:tcW w:w="626" w:type="pct"/>
                  <w:noWrap w:val="0"/>
                  <w:vAlign w:val="center"/>
                </w:tcPr>
                <w:p w14:paraId="69B42E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5~15</w:t>
                  </w:r>
                </w:p>
              </w:tc>
              <w:tc>
                <w:tcPr>
                  <w:tcW w:w="579" w:type="pct"/>
                  <w:noWrap w:val="0"/>
                  <w:vAlign w:val="center"/>
                </w:tcPr>
                <w:p w14:paraId="037113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150</w:t>
                  </w:r>
                </w:p>
              </w:tc>
              <w:tc>
                <w:tcPr>
                  <w:tcW w:w="663" w:type="pct"/>
                  <w:noWrap w:val="0"/>
                  <w:vAlign w:val="center"/>
                </w:tcPr>
                <w:p w14:paraId="7B4D60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3.33~10</w:t>
                  </w:r>
                </w:p>
              </w:tc>
              <w:tc>
                <w:tcPr>
                  <w:tcW w:w="551" w:type="pct"/>
                  <w:vMerge w:val="continue"/>
                  <w:noWrap w:val="0"/>
                  <w:vAlign w:val="center"/>
                </w:tcPr>
                <w:p w14:paraId="230FCE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p>
              </w:tc>
              <w:tc>
                <w:tcPr>
                  <w:tcW w:w="554" w:type="pct"/>
                  <w:vMerge w:val="continue"/>
                  <w:noWrap w:val="0"/>
                  <w:vAlign w:val="center"/>
                </w:tcPr>
                <w:p w14:paraId="04B72F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lang w:val="en-US" w:eastAsia="zh-CN"/>
                    </w:rPr>
                  </w:pPr>
                </w:p>
              </w:tc>
            </w:tr>
            <w:tr w14:paraId="6FCA3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400205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restart"/>
                  <w:noWrap w:val="0"/>
                  <w:vAlign w:val="center"/>
                </w:tcPr>
                <w:p w14:paraId="2CAAB6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NO</w:t>
                  </w:r>
                  <w:r>
                    <w:rPr>
                      <w:rFonts w:hint="default" w:ascii="Times New Roman" w:hAnsi="Times New Roman" w:eastAsia="宋体" w:cs="Times New Roman"/>
                      <w:caps w:val="0"/>
                      <w:smallCaps w:val="0"/>
                      <w:color w:val="auto"/>
                      <w:spacing w:val="0"/>
                      <w:sz w:val="21"/>
                      <w:szCs w:val="21"/>
                      <w:highlight w:val="none"/>
                      <w:vertAlign w:val="subscript"/>
                    </w:rPr>
                    <w:t>2</w:t>
                  </w:r>
                </w:p>
              </w:tc>
              <w:tc>
                <w:tcPr>
                  <w:tcW w:w="1289" w:type="pct"/>
                  <w:noWrap w:val="0"/>
                  <w:vAlign w:val="center"/>
                </w:tcPr>
                <w:p w14:paraId="6D9DC3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年平均浓度</w:t>
                  </w:r>
                </w:p>
              </w:tc>
              <w:tc>
                <w:tcPr>
                  <w:tcW w:w="626" w:type="pct"/>
                  <w:noWrap w:val="0"/>
                  <w:vAlign w:val="center"/>
                </w:tcPr>
                <w:p w14:paraId="077517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26</w:t>
                  </w:r>
                </w:p>
              </w:tc>
              <w:tc>
                <w:tcPr>
                  <w:tcW w:w="579" w:type="pct"/>
                  <w:noWrap w:val="0"/>
                  <w:vAlign w:val="center"/>
                </w:tcPr>
                <w:p w14:paraId="69B25A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40</w:t>
                  </w:r>
                </w:p>
              </w:tc>
              <w:tc>
                <w:tcPr>
                  <w:tcW w:w="663" w:type="pct"/>
                  <w:noWrap w:val="0"/>
                  <w:vAlign w:val="center"/>
                </w:tcPr>
                <w:p w14:paraId="248D18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65</w:t>
                  </w:r>
                </w:p>
              </w:tc>
              <w:tc>
                <w:tcPr>
                  <w:tcW w:w="551" w:type="pct"/>
                  <w:noWrap w:val="0"/>
                  <w:vAlign w:val="center"/>
                </w:tcPr>
                <w:p w14:paraId="4C3742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达标</w:t>
                  </w:r>
                </w:p>
              </w:tc>
              <w:tc>
                <w:tcPr>
                  <w:tcW w:w="554" w:type="pct"/>
                  <w:noWrap w:val="0"/>
                  <w:vAlign w:val="center"/>
                </w:tcPr>
                <w:p w14:paraId="365F4D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w:t>
                  </w:r>
                </w:p>
              </w:tc>
            </w:tr>
            <w:tr w14:paraId="571E9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6FA756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continue"/>
                  <w:noWrap w:val="0"/>
                  <w:vAlign w:val="center"/>
                </w:tcPr>
                <w:p w14:paraId="60ECEE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p>
              </w:tc>
              <w:tc>
                <w:tcPr>
                  <w:tcW w:w="1289" w:type="pct"/>
                  <w:noWrap w:val="0"/>
                  <w:vAlign w:val="center"/>
                </w:tcPr>
                <w:p w14:paraId="23AD63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日</w:t>
                  </w:r>
                  <w:r>
                    <w:rPr>
                      <w:rFonts w:hint="default" w:ascii="Times New Roman" w:hAnsi="Times New Roman" w:eastAsia="宋体" w:cs="Times New Roman"/>
                      <w:caps w:val="0"/>
                      <w:smallCaps w:val="0"/>
                      <w:color w:val="auto"/>
                      <w:spacing w:val="0"/>
                      <w:sz w:val="21"/>
                      <w:szCs w:val="21"/>
                      <w:highlight w:val="none"/>
                      <w:lang w:val="en-US" w:eastAsia="zh-CN"/>
                    </w:rPr>
                    <w:t>均值浓度</w:t>
                  </w:r>
                </w:p>
              </w:tc>
              <w:tc>
                <w:tcPr>
                  <w:tcW w:w="626" w:type="pct"/>
                  <w:noWrap w:val="0"/>
                  <w:vAlign w:val="center"/>
                </w:tcPr>
                <w:p w14:paraId="09D62D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5~92</w:t>
                  </w:r>
                </w:p>
              </w:tc>
              <w:tc>
                <w:tcPr>
                  <w:tcW w:w="579" w:type="pct"/>
                  <w:noWrap w:val="0"/>
                  <w:vAlign w:val="center"/>
                </w:tcPr>
                <w:p w14:paraId="13CCEE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80</w:t>
                  </w:r>
                </w:p>
              </w:tc>
              <w:tc>
                <w:tcPr>
                  <w:tcW w:w="663" w:type="pct"/>
                  <w:noWrap w:val="0"/>
                  <w:vAlign w:val="center"/>
                </w:tcPr>
                <w:p w14:paraId="38E647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6.25~115</w:t>
                  </w:r>
                </w:p>
              </w:tc>
              <w:tc>
                <w:tcPr>
                  <w:tcW w:w="551" w:type="pct"/>
                  <w:noWrap w:val="0"/>
                  <w:vAlign w:val="center"/>
                </w:tcPr>
                <w:p w14:paraId="1DF6C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达标</w:t>
                  </w:r>
                  <w:r>
                    <w:rPr>
                      <w:rFonts w:hint="default" w:ascii="Times New Roman" w:hAnsi="Times New Roman" w:eastAsia="宋体" w:cs="Times New Roman"/>
                      <w:caps w:val="0"/>
                      <w:smallCaps w:val="0"/>
                      <w:color w:val="auto"/>
                      <w:spacing w:val="0"/>
                      <w:sz w:val="21"/>
                      <w:szCs w:val="21"/>
                      <w:highlight w:val="none"/>
                      <w:vertAlign w:val="superscript"/>
                      <w:lang w:val="en-US" w:eastAsia="zh-CN"/>
                    </w:rPr>
                    <w:t>①</w:t>
                  </w:r>
                </w:p>
              </w:tc>
              <w:tc>
                <w:tcPr>
                  <w:tcW w:w="554" w:type="pct"/>
                  <w:noWrap w:val="0"/>
                  <w:vAlign w:val="center"/>
                </w:tcPr>
                <w:p w14:paraId="0D243D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0.8</w:t>
                  </w:r>
                </w:p>
              </w:tc>
            </w:tr>
            <w:tr w14:paraId="22515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05C9DE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restart"/>
                  <w:noWrap w:val="0"/>
                  <w:vAlign w:val="center"/>
                </w:tcPr>
                <w:p w14:paraId="625159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PM</w:t>
                  </w:r>
                  <w:r>
                    <w:rPr>
                      <w:rFonts w:hint="default" w:ascii="Times New Roman" w:hAnsi="Times New Roman" w:eastAsia="宋体" w:cs="Times New Roman"/>
                      <w:caps w:val="0"/>
                      <w:smallCaps w:val="0"/>
                      <w:color w:val="auto"/>
                      <w:spacing w:val="0"/>
                      <w:sz w:val="21"/>
                      <w:szCs w:val="21"/>
                      <w:highlight w:val="none"/>
                      <w:vertAlign w:val="subscript"/>
                    </w:rPr>
                    <w:t>10</w:t>
                  </w:r>
                </w:p>
              </w:tc>
              <w:tc>
                <w:tcPr>
                  <w:tcW w:w="1289" w:type="pct"/>
                  <w:noWrap w:val="0"/>
                  <w:vAlign w:val="center"/>
                </w:tcPr>
                <w:p w14:paraId="6F9E0A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年平均浓度</w:t>
                  </w:r>
                </w:p>
              </w:tc>
              <w:tc>
                <w:tcPr>
                  <w:tcW w:w="626" w:type="pct"/>
                  <w:noWrap w:val="0"/>
                  <w:vAlign w:val="center"/>
                </w:tcPr>
                <w:p w14:paraId="287AB2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52</w:t>
                  </w:r>
                </w:p>
              </w:tc>
              <w:tc>
                <w:tcPr>
                  <w:tcW w:w="579" w:type="pct"/>
                  <w:noWrap w:val="0"/>
                  <w:vAlign w:val="center"/>
                </w:tcPr>
                <w:p w14:paraId="57D88C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70</w:t>
                  </w:r>
                </w:p>
              </w:tc>
              <w:tc>
                <w:tcPr>
                  <w:tcW w:w="663" w:type="pct"/>
                  <w:noWrap w:val="0"/>
                  <w:vAlign w:val="center"/>
                </w:tcPr>
                <w:p w14:paraId="206F6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74.29</w:t>
                  </w:r>
                </w:p>
              </w:tc>
              <w:tc>
                <w:tcPr>
                  <w:tcW w:w="551" w:type="pct"/>
                  <w:noWrap w:val="0"/>
                  <w:vAlign w:val="center"/>
                </w:tcPr>
                <w:p w14:paraId="0F5A2F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达标</w:t>
                  </w:r>
                </w:p>
              </w:tc>
              <w:tc>
                <w:tcPr>
                  <w:tcW w:w="554" w:type="pct"/>
                  <w:noWrap w:val="0"/>
                  <w:vAlign w:val="center"/>
                </w:tcPr>
                <w:p w14:paraId="12B091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w:t>
                  </w:r>
                </w:p>
              </w:tc>
            </w:tr>
            <w:tr w14:paraId="6A301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7AED52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continue"/>
                  <w:noWrap w:val="0"/>
                  <w:vAlign w:val="center"/>
                </w:tcPr>
                <w:p w14:paraId="41E47D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p>
              </w:tc>
              <w:tc>
                <w:tcPr>
                  <w:tcW w:w="1289" w:type="pct"/>
                  <w:noWrap w:val="0"/>
                  <w:vAlign w:val="center"/>
                </w:tcPr>
                <w:p w14:paraId="43CA5C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日</w:t>
                  </w:r>
                  <w:r>
                    <w:rPr>
                      <w:rFonts w:hint="default" w:ascii="Times New Roman" w:hAnsi="Times New Roman" w:eastAsia="宋体" w:cs="Times New Roman"/>
                      <w:caps w:val="0"/>
                      <w:smallCaps w:val="0"/>
                      <w:color w:val="auto"/>
                      <w:spacing w:val="0"/>
                      <w:sz w:val="21"/>
                      <w:szCs w:val="21"/>
                      <w:highlight w:val="none"/>
                      <w:lang w:val="en-US" w:eastAsia="zh-CN"/>
                    </w:rPr>
                    <w:t>均值浓度</w:t>
                  </w:r>
                </w:p>
              </w:tc>
              <w:tc>
                <w:tcPr>
                  <w:tcW w:w="626" w:type="pct"/>
                  <w:noWrap w:val="0"/>
                  <w:vAlign w:val="center"/>
                </w:tcPr>
                <w:p w14:paraId="5FDB63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9~206</w:t>
                  </w:r>
                </w:p>
              </w:tc>
              <w:tc>
                <w:tcPr>
                  <w:tcW w:w="579" w:type="pct"/>
                  <w:noWrap w:val="0"/>
                  <w:vAlign w:val="center"/>
                </w:tcPr>
                <w:p w14:paraId="70B237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150</w:t>
                  </w:r>
                </w:p>
              </w:tc>
              <w:tc>
                <w:tcPr>
                  <w:tcW w:w="663" w:type="pct"/>
                  <w:noWrap w:val="0"/>
                  <w:vAlign w:val="center"/>
                </w:tcPr>
                <w:p w14:paraId="01BC72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6~137.33</w:t>
                  </w:r>
                </w:p>
              </w:tc>
              <w:tc>
                <w:tcPr>
                  <w:tcW w:w="551" w:type="pct"/>
                  <w:noWrap w:val="0"/>
                  <w:vAlign w:val="center"/>
                </w:tcPr>
                <w:p w14:paraId="68A309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达标</w:t>
                  </w:r>
                  <w:r>
                    <w:rPr>
                      <w:rFonts w:hint="default" w:ascii="Times New Roman" w:hAnsi="Times New Roman" w:eastAsia="宋体" w:cs="Times New Roman"/>
                      <w:caps w:val="0"/>
                      <w:smallCaps w:val="0"/>
                      <w:color w:val="auto"/>
                      <w:spacing w:val="0"/>
                      <w:sz w:val="21"/>
                      <w:szCs w:val="21"/>
                      <w:highlight w:val="none"/>
                      <w:vertAlign w:val="superscript"/>
                      <w:lang w:val="en-US" w:eastAsia="zh-CN"/>
                    </w:rPr>
                    <w:t>②</w:t>
                  </w:r>
                </w:p>
              </w:tc>
              <w:tc>
                <w:tcPr>
                  <w:tcW w:w="554" w:type="pct"/>
                  <w:noWrap w:val="0"/>
                  <w:vAlign w:val="center"/>
                </w:tcPr>
                <w:p w14:paraId="3F545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1.7</w:t>
                  </w:r>
                </w:p>
              </w:tc>
            </w:tr>
            <w:tr w14:paraId="632F72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3957BE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restart"/>
                  <w:noWrap w:val="0"/>
                  <w:vAlign w:val="center"/>
                </w:tcPr>
                <w:p w14:paraId="47B295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PM</w:t>
                  </w:r>
                  <w:r>
                    <w:rPr>
                      <w:rFonts w:hint="default" w:ascii="Times New Roman" w:hAnsi="Times New Roman" w:eastAsia="宋体" w:cs="Times New Roman"/>
                      <w:caps w:val="0"/>
                      <w:smallCaps w:val="0"/>
                      <w:color w:val="auto"/>
                      <w:spacing w:val="0"/>
                      <w:sz w:val="21"/>
                      <w:szCs w:val="21"/>
                      <w:highlight w:val="none"/>
                      <w:vertAlign w:val="subscript"/>
                    </w:rPr>
                    <w:t>2.5</w:t>
                  </w:r>
                </w:p>
              </w:tc>
              <w:tc>
                <w:tcPr>
                  <w:tcW w:w="1289" w:type="pct"/>
                  <w:noWrap w:val="0"/>
                  <w:vAlign w:val="center"/>
                </w:tcPr>
                <w:p w14:paraId="236137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年平均浓度</w:t>
                  </w:r>
                </w:p>
              </w:tc>
              <w:tc>
                <w:tcPr>
                  <w:tcW w:w="626" w:type="pct"/>
                  <w:noWrap w:val="0"/>
                  <w:vAlign w:val="center"/>
                </w:tcPr>
                <w:p w14:paraId="26DCA8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32</w:t>
                  </w:r>
                </w:p>
              </w:tc>
              <w:tc>
                <w:tcPr>
                  <w:tcW w:w="579" w:type="pct"/>
                  <w:noWrap w:val="0"/>
                  <w:vAlign w:val="center"/>
                </w:tcPr>
                <w:p w14:paraId="7B4961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35</w:t>
                  </w:r>
                </w:p>
              </w:tc>
              <w:tc>
                <w:tcPr>
                  <w:tcW w:w="663" w:type="pct"/>
                  <w:noWrap w:val="0"/>
                  <w:vAlign w:val="center"/>
                </w:tcPr>
                <w:p w14:paraId="064721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91.43</w:t>
                  </w:r>
                </w:p>
              </w:tc>
              <w:tc>
                <w:tcPr>
                  <w:tcW w:w="551" w:type="pct"/>
                  <w:noWrap w:val="0"/>
                  <w:vAlign w:val="center"/>
                </w:tcPr>
                <w:p w14:paraId="598F84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达标</w:t>
                  </w:r>
                </w:p>
              </w:tc>
              <w:tc>
                <w:tcPr>
                  <w:tcW w:w="554" w:type="pct"/>
                  <w:noWrap w:val="0"/>
                  <w:vAlign w:val="center"/>
                </w:tcPr>
                <w:p w14:paraId="7CC6F9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w:t>
                  </w:r>
                </w:p>
              </w:tc>
            </w:tr>
            <w:tr w14:paraId="2E14B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54886C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continue"/>
                  <w:noWrap w:val="0"/>
                  <w:vAlign w:val="center"/>
                </w:tcPr>
                <w:p w14:paraId="684EC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p>
              </w:tc>
              <w:tc>
                <w:tcPr>
                  <w:tcW w:w="1289" w:type="pct"/>
                  <w:noWrap w:val="0"/>
                  <w:vAlign w:val="center"/>
                </w:tcPr>
                <w:p w14:paraId="3CBA4D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日</w:t>
                  </w:r>
                  <w:r>
                    <w:rPr>
                      <w:rFonts w:hint="default" w:ascii="Times New Roman" w:hAnsi="Times New Roman" w:eastAsia="宋体" w:cs="Times New Roman"/>
                      <w:caps w:val="0"/>
                      <w:smallCaps w:val="0"/>
                      <w:color w:val="auto"/>
                      <w:spacing w:val="0"/>
                      <w:sz w:val="21"/>
                      <w:szCs w:val="21"/>
                      <w:highlight w:val="none"/>
                      <w:lang w:val="en-US" w:eastAsia="zh-CN"/>
                    </w:rPr>
                    <w:t>均值浓度</w:t>
                  </w:r>
                </w:p>
              </w:tc>
              <w:tc>
                <w:tcPr>
                  <w:tcW w:w="626" w:type="pct"/>
                  <w:noWrap w:val="0"/>
                  <w:vAlign w:val="center"/>
                </w:tcPr>
                <w:p w14:paraId="0149A6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5~157</w:t>
                  </w:r>
                </w:p>
              </w:tc>
              <w:tc>
                <w:tcPr>
                  <w:tcW w:w="579" w:type="pct"/>
                  <w:noWrap w:val="0"/>
                  <w:vAlign w:val="center"/>
                </w:tcPr>
                <w:p w14:paraId="1307FE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75</w:t>
                  </w:r>
                </w:p>
              </w:tc>
              <w:tc>
                <w:tcPr>
                  <w:tcW w:w="663" w:type="pct"/>
                  <w:noWrap w:val="0"/>
                  <w:vAlign w:val="center"/>
                </w:tcPr>
                <w:p w14:paraId="67E06B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kern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lang w:val="en-US" w:eastAsia="zh-CN"/>
                    </w:rPr>
                    <w:t>6.67~209.33</w:t>
                  </w:r>
                </w:p>
              </w:tc>
              <w:tc>
                <w:tcPr>
                  <w:tcW w:w="551" w:type="pct"/>
                  <w:noWrap w:val="0"/>
                  <w:vAlign w:val="center"/>
                </w:tcPr>
                <w:p w14:paraId="6323DF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超标</w:t>
                  </w:r>
                  <w:r>
                    <w:rPr>
                      <w:rFonts w:hint="default" w:ascii="Times New Roman" w:hAnsi="Times New Roman" w:eastAsia="宋体" w:cs="Times New Roman"/>
                      <w:caps w:val="0"/>
                      <w:smallCaps w:val="0"/>
                      <w:color w:val="auto"/>
                      <w:spacing w:val="0"/>
                      <w:sz w:val="21"/>
                      <w:szCs w:val="21"/>
                      <w:highlight w:val="none"/>
                      <w:vertAlign w:val="superscript"/>
                      <w:lang w:val="en-US" w:eastAsia="zh-CN"/>
                    </w:rPr>
                    <w:t>③</w:t>
                  </w:r>
                </w:p>
              </w:tc>
              <w:tc>
                <w:tcPr>
                  <w:tcW w:w="554" w:type="pct"/>
                  <w:noWrap w:val="0"/>
                  <w:vAlign w:val="center"/>
                </w:tcPr>
                <w:p w14:paraId="2C5906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6.8</w:t>
                  </w:r>
                </w:p>
              </w:tc>
            </w:tr>
            <w:tr w14:paraId="0AE164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5" w:hRule="atLeast"/>
              </w:trPr>
              <w:tc>
                <w:tcPr>
                  <w:tcW w:w="300" w:type="pct"/>
                  <w:vMerge w:val="continue"/>
                  <w:noWrap w:val="0"/>
                  <w:vAlign w:val="top"/>
                </w:tcPr>
                <w:p w14:paraId="3759D7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restart"/>
                  <w:noWrap w:val="0"/>
                  <w:vAlign w:val="center"/>
                </w:tcPr>
                <w:p w14:paraId="364766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CO</w:t>
                  </w:r>
                </w:p>
              </w:tc>
              <w:tc>
                <w:tcPr>
                  <w:tcW w:w="1289" w:type="pct"/>
                  <w:noWrap w:val="0"/>
                  <w:tcMar>
                    <w:top w:w="0" w:type="dxa"/>
                    <w:left w:w="0" w:type="dxa"/>
                    <w:bottom w:w="0" w:type="dxa"/>
                    <w:right w:w="0" w:type="dxa"/>
                  </w:tcMar>
                  <w:vAlign w:val="center"/>
                </w:tcPr>
                <w:p w14:paraId="04DB37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日平均第95百分位数</w:t>
                  </w:r>
                </w:p>
              </w:tc>
              <w:tc>
                <w:tcPr>
                  <w:tcW w:w="626" w:type="pct"/>
                  <w:noWrap w:val="0"/>
                  <w:vAlign w:val="center"/>
                </w:tcPr>
                <w:p w14:paraId="6E7FF2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rPr>
                    <w:t>1</w:t>
                  </w:r>
                  <w:r>
                    <w:rPr>
                      <w:rFonts w:hint="default" w:ascii="Times New Roman" w:hAnsi="Times New Roman" w:eastAsia="宋体" w:cs="Times New Roman"/>
                      <w:caps w:val="0"/>
                      <w:smallCaps w:val="0"/>
                      <w:color w:val="auto"/>
                      <w:spacing w:val="0"/>
                      <w:kern w:val="0"/>
                      <w:sz w:val="21"/>
                      <w:szCs w:val="21"/>
                      <w:highlight w:val="none"/>
                      <w:lang w:val="en-US" w:eastAsia="zh-CN"/>
                    </w:rPr>
                    <w:t>100</w:t>
                  </w:r>
                </w:p>
              </w:tc>
              <w:tc>
                <w:tcPr>
                  <w:tcW w:w="579" w:type="pct"/>
                  <w:vMerge w:val="restart"/>
                  <w:noWrap w:val="0"/>
                  <w:vAlign w:val="center"/>
                </w:tcPr>
                <w:p w14:paraId="5ACFF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4000</w:t>
                  </w:r>
                </w:p>
              </w:tc>
              <w:tc>
                <w:tcPr>
                  <w:tcW w:w="663" w:type="pct"/>
                  <w:noWrap w:val="0"/>
                  <w:vAlign w:val="center"/>
                </w:tcPr>
                <w:p w14:paraId="74FB46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2</w:t>
                  </w:r>
                  <w:r>
                    <w:rPr>
                      <w:rFonts w:hint="default" w:ascii="Times New Roman" w:hAnsi="Times New Roman" w:eastAsia="宋体" w:cs="Times New Roman"/>
                      <w:caps w:val="0"/>
                      <w:smallCaps w:val="0"/>
                      <w:color w:val="auto"/>
                      <w:spacing w:val="0"/>
                      <w:sz w:val="21"/>
                      <w:szCs w:val="21"/>
                      <w:highlight w:val="none"/>
                      <w:lang w:val="en-US" w:eastAsia="zh-CN"/>
                    </w:rPr>
                    <w:t>7.</w:t>
                  </w:r>
                  <w:r>
                    <w:rPr>
                      <w:rFonts w:hint="default" w:ascii="Times New Roman" w:hAnsi="Times New Roman" w:eastAsia="宋体" w:cs="Times New Roman"/>
                      <w:caps w:val="0"/>
                      <w:smallCaps w:val="0"/>
                      <w:color w:val="auto"/>
                      <w:spacing w:val="0"/>
                      <w:sz w:val="21"/>
                      <w:szCs w:val="21"/>
                      <w:highlight w:val="none"/>
                    </w:rPr>
                    <w:t>5</w:t>
                  </w:r>
                </w:p>
              </w:tc>
              <w:tc>
                <w:tcPr>
                  <w:tcW w:w="551" w:type="pct"/>
                  <w:vMerge w:val="restart"/>
                  <w:noWrap w:val="0"/>
                  <w:vAlign w:val="center"/>
                </w:tcPr>
                <w:p w14:paraId="09471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达标</w:t>
                  </w:r>
                </w:p>
              </w:tc>
              <w:tc>
                <w:tcPr>
                  <w:tcW w:w="554" w:type="pct"/>
                  <w:vMerge w:val="restart"/>
                  <w:noWrap w:val="0"/>
                  <w:vAlign w:val="center"/>
                </w:tcPr>
                <w:p w14:paraId="040A13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w:t>
                  </w:r>
                </w:p>
              </w:tc>
            </w:tr>
            <w:tr w14:paraId="78247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5" w:hRule="atLeast"/>
              </w:trPr>
              <w:tc>
                <w:tcPr>
                  <w:tcW w:w="300" w:type="pct"/>
                  <w:vMerge w:val="continue"/>
                  <w:noWrap w:val="0"/>
                  <w:vAlign w:val="top"/>
                </w:tcPr>
                <w:p w14:paraId="3EC2BA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vMerge w:val="continue"/>
                  <w:noWrap w:val="0"/>
                  <w:vAlign w:val="center"/>
                </w:tcPr>
                <w:p w14:paraId="4CC2CE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rPr>
                  </w:pPr>
                </w:p>
              </w:tc>
              <w:tc>
                <w:tcPr>
                  <w:tcW w:w="1289" w:type="pct"/>
                  <w:noWrap w:val="0"/>
                  <w:tcMar>
                    <w:top w:w="0" w:type="dxa"/>
                    <w:left w:w="0" w:type="dxa"/>
                    <w:bottom w:w="0" w:type="dxa"/>
                    <w:right w:w="0" w:type="dxa"/>
                  </w:tcMar>
                  <w:vAlign w:val="center"/>
                </w:tcPr>
                <w:p w14:paraId="3A3987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日均值浓度</w:t>
                  </w:r>
                </w:p>
              </w:tc>
              <w:tc>
                <w:tcPr>
                  <w:tcW w:w="626" w:type="pct"/>
                  <w:noWrap w:val="0"/>
                  <w:vAlign w:val="center"/>
                </w:tcPr>
                <w:p w14:paraId="2C3B72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400~1500</w:t>
                  </w:r>
                </w:p>
              </w:tc>
              <w:tc>
                <w:tcPr>
                  <w:tcW w:w="579" w:type="pct"/>
                  <w:vMerge w:val="continue"/>
                  <w:noWrap w:val="0"/>
                  <w:vAlign w:val="center"/>
                </w:tcPr>
                <w:p w14:paraId="17FB46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p>
              </w:tc>
              <w:tc>
                <w:tcPr>
                  <w:tcW w:w="663" w:type="pct"/>
                  <w:noWrap w:val="0"/>
                  <w:vAlign w:val="center"/>
                </w:tcPr>
                <w:p w14:paraId="326064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10~37.5</w:t>
                  </w:r>
                </w:p>
              </w:tc>
              <w:tc>
                <w:tcPr>
                  <w:tcW w:w="551" w:type="pct"/>
                  <w:vMerge w:val="continue"/>
                  <w:noWrap w:val="0"/>
                  <w:vAlign w:val="center"/>
                </w:tcPr>
                <w:p w14:paraId="79A0E2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p>
              </w:tc>
              <w:tc>
                <w:tcPr>
                  <w:tcW w:w="554" w:type="pct"/>
                  <w:vMerge w:val="continue"/>
                  <w:noWrap w:val="0"/>
                  <w:vAlign w:val="center"/>
                </w:tcPr>
                <w:p w14:paraId="56F7E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yellow"/>
                    </w:rPr>
                  </w:pPr>
                </w:p>
              </w:tc>
            </w:tr>
            <w:tr w14:paraId="47A11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300" w:type="pct"/>
                  <w:vMerge w:val="continue"/>
                  <w:noWrap w:val="0"/>
                  <w:vAlign w:val="top"/>
                </w:tcPr>
                <w:p w14:paraId="06E223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rPr>
                  </w:pPr>
                </w:p>
              </w:tc>
              <w:tc>
                <w:tcPr>
                  <w:tcW w:w="435" w:type="pct"/>
                  <w:noWrap w:val="0"/>
                  <w:vAlign w:val="center"/>
                </w:tcPr>
                <w:p w14:paraId="583A3F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O</w:t>
                  </w:r>
                  <w:r>
                    <w:rPr>
                      <w:rFonts w:hint="default" w:ascii="Times New Roman" w:hAnsi="Times New Roman" w:eastAsia="宋体" w:cs="Times New Roman"/>
                      <w:caps w:val="0"/>
                      <w:smallCaps w:val="0"/>
                      <w:color w:val="auto"/>
                      <w:spacing w:val="0"/>
                      <w:sz w:val="21"/>
                      <w:szCs w:val="21"/>
                      <w:highlight w:val="none"/>
                      <w:vertAlign w:val="subscript"/>
                    </w:rPr>
                    <w:t>3</w:t>
                  </w:r>
                </w:p>
              </w:tc>
              <w:tc>
                <w:tcPr>
                  <w:tcW w:w="1289" w:type="pct"/>
                  <w:noWrap w:val="0"/>
                  <w:tcMar>
                    <w:top w:w="0" w:type="dxa"/>
                    <w:left w:w="0" w:type="dxa"/>
                    <w:bottom w:w="0" w:type="dxa"/>
                    <w:right w:w="0" w:type="dxa"/>
                  </w:tcMar>
                  <w:vAlign w:val="center"/>
                </w:tcPr>
                <w:p w14:paraId="25123A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日最大8h滑动平均值第90百分位数</w:t>
                  </w:r>
                </w:p>
              </w:tc>
              <w:tc>
                <w:tcPr>
                  <w:tcW w:w="626" w:type="pct"/>
                  <w:noWrap w:val="0"/>
                  <w:vAlign w:val="center"/>
                </w:tcPr>
                <w:p w14:paraId="232657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rPr>
                    <w:t>1</w:t>
                  </w:r>
                  <w:r>
                    <w:rPr>
                      <w:rFonts w:hint="default" w:ascii="Times New Roman" w:hAnsi="Times New Roman" w:eastAsia="宋体" w:cs="Times New Roman"/>
                      <w:caps w:val="0"/>
                      <w:smallCaps w:val="0"/>
                      <w:color w:val="auto"/>
                      <w:spacing w:val="0"/>
                      <w:kern w:val="0"/>
                      <w:sz w:val="21"/>
                      <w:szCs w:val="21"/>
                      <w:highlight w:val="none"/>
                      <w:lang w:val="en-US" w:eastAsia="zh-CN"/>
                    </w:rPr>
                    <w:t>68</w:t>
                  </w:r>
                </w:p>
              </w:tc>
              <w:tc>
                <w:tcPr>
                  <w:tcW w:w="579" w:type="pct"/>
                  <w:noWrap w:val="0"/>
                  <w:vAlign w:val="center"/>
                </w:tcPr>
                <w:p w14:paraId="0FA8E9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kern w:val="0"/>
                      <w:sz w:val="21"/>
                      <w:szCs w:val="21"/>
                      <w:highlight w:val="none"/>
                    </w:rPr>
                    <w:t>160</w:t>
                  </w:r>
                </w:p>
              </w:tc>
              <w:tc>
                <w:tcPr>
                  <w:tcW w:w="663" w:type="pct"/>
                  <w:noWrap w:val="0"/>
                  <w:vAlign w:val="center"/>
                </w:tcPr>
                <w:p w14:paraId="24383C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kern w:val="0"/>
                      <w:sz w:val="21"/>
                      <w:szCs w:val="21"/>
                      <w:highlight w:val="none"/>
                    </w:rPr>
                    <w:t>10</w:t>
                  </w:r>
                  <w:r>
                    <w:rPr>
                      <w:rFonts w:hint="default" w:ascii="Times New Roman" w:hAnsi="Times New Roman" w:eastAsia="宋体" w:cs="Times New Roman"/>
                      <w:caps w:val="0"/>
                      <w:smallCaps w:val="0"/>
                      <w:color w:val="auto"/>
                      <w:spacing w:val="0"/>
                      <w:kern w:val="0"/>
                      <w:sz w:val="21"/>
                      <w:szCs w:val="21"/>
                      <w:highlight w:val="none"/>
                      <w:lang w:val="en-US" w:eastAsia="zh-CN"/>
                    </w:rPr>
                    <w:t>5</w:t>
                  </w:r>
                </w:p>
              </w:tc>
              <w:tc>
                <w:tcPr>
                  <w:tcW w:w="551" w:type="pct"/>
                  <w:noWrap w:val="0"/>
                  <w:vAlign w:val="center"/>
                </w:tcPr>
                <w:p w14:paraId="3EE7A3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超标</w:t>
                  </w:r>
                </w:p>
              </w:tc>
              <w:tc>
                <w:tcPr>
                  <w:tcW w:w="554" w:type="pct"/>
                  <w:noWrap w:val="0"/>
                  <w:vAlign w:val="center"/>
                </w:tcPr>
                <w:p w14:paraId="4173A5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sz w:val="21"/>
                      <w:szCs w:val="21"/>
                      <w:highlight w:val="none"/>
                      <w:lang w:val="en-US" w:eastAsia="zh-CN"/>
                    </w:rPr>
                  </w:pPr>
                  <w:r>
                    <w:rPr>
                      <w:rFonts w:hint="default" w:ascii="Times New Roman" w:hAnsi="Times New Roman" w:eastAsia="宋体" w:cs="Times New Roman"/>
                      <w:caps w:val="0"/>
                      <w:smallCaps w:val="0"/>
                      <w:color w:val="auto"/>
                      <w:spacing w:val="0"/>
                      <w:sz w:val="21"/>
                      <w:szCs w:val="21"/>
                      <w:highlight w:val="none"/>
                      <w:lang w:val="en-US" w:eastAsia="zh-CN"/>
                    </w:rPr>
                    <w:t>13.7</w:t>
                  </w:r>
                </w:p>
              </w:tc>
            </w:tr>
          </w:tbl>
          <w:p w14:paraId="5AA0F304">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注：①NO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日平均第98百分位数达标；②PM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日平均第95百分位数达标；③PM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日平均第95百分位数超标。</w:t>
            </w:r>
          </w:p>
          <w:p w14:paraId="6E18976E">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根据上表可知，</w:t>
            </w:r>
            <w:r>
              <w:rPr>
                <w:rFonts w:hint="default" w:ascii="Times New Roman" w:hAnsi="Times New Roman" w:eastAsia="宋体" w:cs="Times New Roman"/>
                <w:color w:val="auto"/>
                <w:sz w:val="24"/>
                <w:szCs w:val="24"/>
                <w:lang w:val="en-US" w:eastAsia="zh-CN"/>
              </w:rPr>
              <w:t>2024年常州市环境空气中SO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年平均质量浓度及日平均第98百分位数、NO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年平均质量浓度及日平均第98百分位数、颗粒物（PM</w:t>
            </w:r>
            <w:r>
              <w:rPr>
                <w:rFonts w:hint="default" w:ascii="Times New Roman" w:hAnsi="Times New Roman" w:eastAsia="宋体" w:cs="Times New Roman"/>
                <w:color w:val="auto"/>
                <w:sz w:val="24"/>
                <w:szCs w:val="24"/>
                <w:vertAlign w:val="subscript"/>
                <w:lang w:val="en-US" w:eastAsia="zh-CN"/>
              </w:rPr>
              <w:t>10</w:t>
            </w:r>
            <w:r>
              <w:rPr>
                <w:rFonts w:hint="default" w:ascii="Times New Roman" w:hAnsi="Times New Roman" w:eastAsia="宋体" w:cs="Times New Roman"/>
                <w:color w:val="auto"/>
                <w:sz w:val="24"/>
                <w:szCs w:val="24"/>
                <w:lang w:val="en-US" w:eastAsia="zh-CN"/>
              </w:rPr>
              <w:t>）年平均质量浓度及日平均第95百分位数、细颗粒物（PM</w:t>
            </w:r>
            <w:r>
              <w:rPr>
                <w:rFonts w:hint="default" w:ascii="Times New Roman" w:hAnsi="Times New Roman" w:eastAsia="宋体" w:cs="Times New Roman"/>
                <w:color w:val="auto"/>
                <w:sz w:val="24"/>
                <w:szCs w:val="24"/>
                <w:vertAlign w:val="subscript"/>
                <w:lang w:val="en-US" w:eastAsia="zh-CN"/>
              </w:rPr>
              <w:t>2.5</w:t>
            </w:r>
            <w:r>
              <w:rPr>
                <w:rFonts w:hint="default" w:ascii="Times New Roman" w:hAnsi="Times New Roman" w:eastAsia="宋体" w:cs="Times New Roman"/>
                <w:color w:val="auto"/>
                <w:sz w:val="24"/>
                <w:szCs w:val="24"/>
                <w:lang w:val="en-US" w:eastAsia="zh-CN"/>
              </w:rPr>
              <w:t>）年平均质量浓度、CO日平均第95百分位数及日均值浓度均达到《环境空气质量标准》（GB3095-2012）表1中二级浓度限值；细颗粒物（PM</w:t>
            </w:r>
            <w:r>
              <w:rPr>
                <w:rFonts w:hint="default" w:ascii="Times New Roman" w:hAnsi="Times New Roman" w:eastAsia="宋体" w:cs="Times New Roman"/>
                <w:color w:val="auto"/>
                <w:sz w:val="24"/>
                <w:szCs w:val="24"/>
                <w:vertAlign w:val="subscript"/>
                <w:lang w:val="en-US" w:eastAsia="zh-CN"/>
              </w:rPr>
              <w:t>2.5</w:t>
            </w:r>
            <w:r>
              <w:rPr>
                <w:rFonts w:hint="default" w:ascii="Times New Roman" w:hAnsi="Times New Roman" w:eastAsia="宋体" w:cs="Times New Roman"/>
                <w:color w:val="auto"/>
                <w:sz w:val="24"/>
                <w:szCs w:val="24"/>
                <w:lang w:val="en-US" w:eastAsia="zh-CN"/>
              </w:rPr>
              <w:t>）日平均第95百分位数、O</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日最大8小时滑动平均值第90百分位数超过《环境空气质量标准》（GB3095-2012）表1中二级浓度限值。项目所在区PM2.5、O</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超标，因此判定为不达标区。</w:t>
            </w:r>
          </w:p>
          <w:p w14:paraId="2FC715A1">
            <w:pPr>
              <w:ind w:firstLine="422"/>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区域大气污染物整治方案</w:t>
            </w:r>
          </w:p>
          <w:p w14:paraId="028E1986">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为加快改善环境空气质量，常州市人民政府发布了《常州市空气质量持续改善行动计划实施方案》（常政发〔2024〕51号），进一步提出如下大气污染防治工作计划：</w:t>
            </w:r>
          </w:p>
          <w:p w14:paraId="27638D89">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主要目标是：到2025年，全市PM2.5浓度总体达标，PM2.5浓度比2020年下降10%，基本消除重度及以上污染天气，空气质量持续改善；氮氧化物和VOCs排放总量比2020年分别下降10%以上，完成省下达的减排目标。</w:t>
            </w:r>
          </w:p>
          <w:p w14:paraId="10C861EC">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重点任务：</w:t>
            </w:r>
          </w:p>
          <w:p w14:paraId="68DB4A1A">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坚决遏制“两高”项目盲目发展。按照江苏省“两高”项目分类管理工作要求，严格执行国家、省有关钢铁（炼钢、炼铁）、焦化、电解铝、水泥（熟料）、平板玻璃（不含光伏压延玻璃）和炼化（纳入国家产业规划除外）等行业产业政策标准。到2025年，短流程炼钢产能占比力争达20%以上。</w:t>
            </w:r>
          </w:p>
          <w:p w14:paraId="3BAFC075">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（二）加快退出重点行业落后产能。落实《产业结构调整指导目录》，依法依规逐步退出限制类涉气行业工艺和装备、逐步淘汰步进式烧结机和球团竖炉以及半封闭式硅锰合金、镍铁、高碳铬铁、高碳锰铁电炉。</w:t>
            </w:r>
          </w:p>
          <w:p w14:paraId="0CE4EEA1">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推进产业集群、园区绿色转型升级。中小型传统制造企业集中的辖市（区）均要制定涉气产业集群发展规划，严格项目审批，严防污染下乡。针对现有产业集群制定专项整治方案，依法淘汰关停一批、搬迁入园一批、就地改造一批、做优做强一批。</w:t>
            </w:r>
          </w:p>
          <w:p w14:paraId="7800B26F">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优化含VOCs原辅材料和产品结构。严格控制生产和使用高VOCs含量涂料、油墨、胶粘剂、清洗剂等建设项目。加大工业涂装、包装印刷和电子行业清洁原料替代力度。鼓励和推进汽车4S店、大型汽修厂实施水性涂料替代。</w:t>
            </w:r>
          </w:p>
          <w:p w14:paraId="5E069A86">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五）大力发展新能源和清洁能源。加快推进光伏发电项目建设和公共机构光伏应用，提升全市公共机构光伏应用水平和示范表率功能，因地制宜发展风力发电，统筹发展生物质能，推广建设“光储充检换”一体化充电示范项目，通过光伏优先消纳、余量存入储能、充满之后上网以及储能夜充日放，实现存储就地消纳。到2025年，新能源发电装机规模达到430万千瓦，公共机构新建建筑可安装光伏屋顶面积力争实现光伏覆盖率达到50%。</w:t>
            </w:r>
          </w:p>
          <w:p w14:paraId="06EBCFDE">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六）严格合理控制煤炭消费总量。原则上不再新增自备燃煤机组，支持自备燃煤机组实施清洁能源替代。未达到能耗强度降低基本目标进度要求的地区，在节能审查等环节对高耗能项目缓批限批。在保障能源安全供应的前提下，继续实施煤炭消费总量控制，鼓励发电向高效、清洁机组倾斜，到2025年全市煤炭消费量较2020年下降5%左右。</w:t>
            </w:r>
          </w:p>
          <w:p w14:paraId="2635C7A7">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七）推进燃煤锅炉关停整合和工业炉窑清洁能源替代。充分发挥30万千瓦及以上热电联产电厂的供热能力，对其供热半径30公里范围内的燃煤锅炉和落后燃煤小热电机组（含自备电厂）进行关停或整合。到2025年，淘汰35蒸吨/小时及以下燃煤锅炉，基本淘汰茶水炉、经营性炉灶、储粮烘干设备、农产品加工等燃煤设施。不再新增燃料类煤气发生炉，新改扩建加热炉、热处理炉、干燥炉、熔化炉原则上采用清洁低碳能源。</w:t>
            </w:r>
          </w:p>
          <w:p w14:paraId="3B27F29E">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八）推进近零碳园区和近零碳工厂试点建设。重点选择绿色产业园区、外贸出口相对集中的园区、“危污乱散低”综合治理“绿岛”园区、科创产业园区等园区类型和市级及以上绿色工厂，推进近零碳园区、近零碳工厂试点。以近零碳园区为主阵地，同步开展近零碳工厂培育和新型智能微电网、虚拟电厂等新能源应用场景推广试点。鼓励企业参与绿电、绿证交易，打造高比例可再生能源消纳示范区，推广综合能源服务，推进能源梯级利用、余热余压回收、绿色供冷供热，推动园区内源网荷储深度融合。</w:t>
            </w:r>
          </w:p>
          <w:p w14:paraId="2BAEF3A5">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（九）持续优化货物运输结构。到2025年，水路、铁路货运量比2020年分别增长12%和10%左右，铁路集装箱多式联运量年均增长10%以上。全市采取公铁联运等“外集内配”物流方式。</w:t>
            </w:r>
          </w:p>
          <w:p w14:paraId="608B2FD3">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实施绿色车轮计划。公共领域新增或更新公交、出租、城市物流配送、轻型环卫等车辆中，新能源汽车或者清洁能源汽车比例不低于80%。加快提升新能源汽车配套基础设施服务保障能力，新建住宅小区停车位立足新能源汽车安全特性100%预留充换电设施接入条件，老旧小区改造应因地制宜同步进行充换电设施改造，积极探索私桩共享模式。制定新能源汽车停车收费优惠政策，落实住宅小区新能源汽车充电电价优惠政策，对新能源汽车实行停车、充电收费优惠。力争提前一年在2024年底前基本淘汰国三及以下排放标准柴油货车。</w:t>
            </w:r>
          </w:p>
          <w:p w14:paraId="347D6F01">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一）强化非道路移动源综合治理。到2025年，基本淘汰第一阶段及以下排放标准的非道路移动机械，鼓励新增或更新的3吨以下叉车基本实现新能源化；民航机场桥电使用率达95%以上。大力提高岸电使用率，到2025年，主要港口和排放控制区内靠港船舶的岸电使用电量较2020年翻一番。</w:t>
            </w:r>
          </w:p>
          <w:p w14:paraId="5E81BD70">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二）实施扬尘精细化治理。积极实施“清洁城市行动”。全面取消全市范围内四级道路，进一步提升一、二级道路的比重，重点区域周边道路全部提升为一级道路作业标准。对于部分无法用大型车辆进行作业的区域，要配备一定数量的小型机械化冲洗车、洗扫车，实行人机结合的保洁模式，做到“机械保面、人工保点”。推进5000平方米及以上建筑工地安装视频监控并接入监管平台。鼓励推广使用新能源渣土运输车辆。推广装配式施工，推进“全电工地”试点。</w:t>
            </w:r>
          </w:p>
          <w:p w14:paraId="0B67C3D5">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（十三）推进矿山生态环境综合整治。新建矿山原则上要同步建设专用廊道或采用其他清洁运输方式。对限期整改仍不达标的矿山，根据安全生产、水土保持、生态环境等要求依法关闭或停止生产。</w:t>
            </w:r>
          </w:p>
          <w:p w14:paraId="4BF9EA49">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（十四）加强秸秆禁烧和综合利用。到2025年，全市农作物秸秆综合利用率稳定达95%以上。禁止露天焚烧秸秆。综合运用卫星遥感、高清视频监控、无人机等手段，提高秸秆焚烧火点监测及巡查精准度。</w:t>
            </w:r>
          </w:p>
          <w:p w14:paraId="18123594">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五）强化VOCs全流程、全环节综合治理。鼓励储罐使用低泄漏的呼吸阀、紧急泄压阀，定期开展密封性检测。重点工业园区建立分环节、分物种管控清单，实施高排放关键活性物种“指纹化”监测监控和靶向治理。到2025年，重点工业园区VOCs浓度力争比2021年下降20%。</w:t>
            </w:r>
          </w:p>
          <w:p w14:paraId="0AC0149F">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六）实施重点行业超低排放与深度治理。有序推进铸造、垃圾焚烧发电、玻璃、有色、石灰、矿棉等行业深度治理。持续推进煤电机组深度脱硝改造，力争2024年底前完成单机10万千瓦及以上煤电机组深度脱硝改造任务。到2025年底，全市水泥企业基本完成超低排放改造。实施重点行业绩效等级提升行动。</w:t>
            </w:r>
          </w:p>
          <w:p w14:paraId="588A5D1B">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七）推进餐饮油烟、恶臭异味专项整治。加强部门联动，因地制宜解决人民群众反映集中的油烟和恶臭扰民问题。严格居民楼附近餐饮服务单位布局管理。拟开设餐饮服务单位的建筑应设计建设专用烟道。建立重点园区“嗅辨+监测”异味溯源机制。</w:t>
            </w:r>
          </w:p>
          <w:p w14:paraId="35931D59">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八）推动大气氨污染防控。推广氮肥机械深施和低蛋白日粮技术。到2025年，全市主要农作物化肥施用量较2020年削减3%，畜禽粪污综合利用率稳定在95%左右。加强氮肥、纯碱等行业大气氨排放治理。强化工业源烟气脱硫脱硝氨逃逸防控。</w:t>
            </w:r>
          </w:p>
          <w:p w14:paraId="2B657862">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（十九）开展区域联防联控和城市空气质量达标管理。积极推进大气污染联防联控机制建设。空气质量未达标的地区编制实施大气环境质量限期达标规划，明确达标路线图及重点任务，并向社会公开。</w:t>
            </w:r>
          </w:p>
          <w:p w14:paraId="7494AC7D">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提升重污染天气应对能力。建立健全市、县两级重污染天气应急预案体系，进一步明确各级政府部门责任分工。结合排污许可制度，确保应急减排清单覆盖所有涉气企业。按照区域预警提示信息，依法依规与同一区域内的城市同步采取应急响应措施。</w:t>
            </w:r>
          </w:p>
          <w:p w14:paraId="14C5CFAD">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一）强化大气监测和执法监管。加强机场、港口、铁路货场、物流园区、工业园区、产业集群、公路等大气环境监测。依法拓展非现场监管手段应用，探索超标识别、取证和执法的数字化监管模式，强化执法效能评估。</w:t>
            </w:r>
          </w:p>
          <w:p w14:paraId="174EF30F">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（二十二）加强决策科技支撑。持续开展PM2.5和臭氧协同控制科技攻关。推进致臭物质识别、恶臭污染评估和溯源技术方法研究。到2025年，完成排放清单编制并实现逐年更新。推进“一地一策”驻点跟踪研究。</w:t>
            </w:r>
          </w:p>
          <w:p w14:paraId="0A9E6897">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三）强化标准引领。推动落实大气污染物排放最新标准，重点行业逐步配套技术指南和工程技术规范，研究制定精细化治理方案。在生产、销售、进口、使用等环节严格执行VOCs含量限值标准。进口非道路移动机械和发动机应达到我国现行新生产设备排放标准。</w:t>
            </w:r>
          </w:p>
          <w:p w14:paraId="5EFB2A16">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四）完善生态环境资金投入机制。综合运用经济、技术等手段推动老旧车辆退出。按照市场化方式加大传统产业及集群升级、工业污染治理、铁路专用线建设、新能源铁路装备推广等领域信贷融资支持力度。</w:t>
            </w:r>
          </w:p>
          <w:p w14:paraId="22E996D6">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五）加强组织领导。坚持和加强党对大气污染防治工作的全面领导。各级政府对本行政区域内空气质量负总责，组织制定本地实施方案。市各有关部门要协同配合落实任务分工，出台政策时统筹考虑空气质量持续改善需求。</w:t>
            </w:r>
          </w:p>
          <w:p w14:paraId="7AA93774">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六）严格监督考核。将空气质量改善目标完成情况作为深入打好污染防治攻坚战成效考核的重要内容。对超额完成目标的地区给予激励；对未完成目标的地区，从资金分配、项目审批、荣誉表彰、责任追究等方面实施惩戒；对问题突出的地区，视情组织开展约谈督查。</w:t>
            </w:r>
          </w:p>
          <w:p w14:paraId="01CA7BC8">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十七）推进全民行动。落实《江苏省生态文明教育促进办法》，加强舆论引导和监督，普及大气环境与健康知识。政府带头开展绿色采购，推进使用新能源车辆，全面使用低（无）VOCs含量产品。强化公民环境意识，推动形成简约适度、绿色低碳、文明健康的生活方式，共同改善空气质量。</w:t>
            </w:r>
          </w:p>
          <w:p w14:paraId="0B6F037C">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通过上述工作的不断推进实施，本项目所在区域空气环境质量将得到持续改善。</w:t>
            </w:r>
          </w:p>
          <w:p w14:paraId="12218F1D">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）特征污染物</w:t>
            </w:r>
          </w:p>
          <w:p w14:paraId="3E420FF7">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本项目特征因子非甲烷总烃环境质量现状监测数据引用TST202</w:t>
            </w:r>
            <w:r>
              <w:rPr>
                <w:rFonts w:hint="default" w:ascii="Times New Roman" w:hAnsi="Times New Roman" w:eastAsia="宋体" w:cs="Times New Roman"/>
                <w:color w:val="auto"/>
                <w:sz w:val="24"/>
                <w:lang w:val="en-US" w:eastAsia="zh-CN"/>
              </w:rPr>
              <w:t>505120</w:t>
            </w:r>
            <w:r>
              <w:rPr>
                <w:rFonts w:hint="default" w:ascii="Times New Roman" w:hAnsi="Times New Roman" w:eastAsia="宋体" w:cs="Times New Roman"/>
                <w:color w:val="auto"/>
                <w:sz w:val="24"/>
              </w:rPr>
              <w:t>特斯特(江苏)检测科技有限公司于</w:t>
            </w:r>
            <w:r>
              <w:rPr>
                <w:rFonts w:hint="default" w:ascii="Times New Roman" w:hAnsi="Times New Roman" w:eastAsia="宋体" w:cs="Times New Roman"/>
                <w:color w:val="auto"/>
                <w:sz w:val="24"/>
                <w:lang w:val="en-US" w:eastAsia="zh-CN"/>
              </w:rPr>
              <w:t>2025.05.25</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5.05.27</w:t>
            </w:r>
            <w:r>
              <w:rPr>
                <w:rFonts w:hint="default" w:ascii="Times New Roman" w:hAnsi="Times New Roman" w:eastAsia="宋体" w:cs="Times New Roman"/>
                <w:color w:val="auto"/>
                <w:sz w:val="24"/>
              </w:rPr>
              <w:t>对〇3项目所在地</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儒林镇：洪邦新能源产业园</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连续</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天的检测数据，引用因子为非甲烷总烃。</w:t>
            </w:r>
            <w:r>
              <w:rPr>
                <w:rFonts w:hint="eastAsia"/>
                <w:color w:val="auto"/>
                <w:sz w:val="24"/>
                <w:szCs w:val="24"/>
              </w:rPr>
              <w:t>项目特征因子</w:t>
            </w:r>
            <w:r>
              <w:rPr>
                <w:rFonts w:hint="eastAsia"/>
                <w:color w:val="auto"/>
                <w:sz w:val="24"/>
                <w:szCs w:val="24"/>
                <w:lang w:val="en-US" w:eastAsia="zh-CN"/>
              </w:rPr>
              <w:t>总悬浮颗粒物</w:t>
            </w:r>
            <w:r>
              <w:rPr>
                <w:rFonts w:hint="default" w:ascii="Times New Roman" w:hAnsi="Times New Roman" w:eastAsia="宋体" w:cs="Times New Roman"/>
                <w:color w:val="auto"/>
                <w:sz w:val="24"/>
              </w:rPr>
              <w:t>环境质量现状监测数据引用TST202</w:t>
            </w:r>
            <w:r>
              <w:rPr>
                <w:rFonts w:hint="default"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lang w:val="en-US" w:eastAsia="zh-CN"/>
              </w:rPr>
              <w:t>12020</w:t>
            </w:r>
            <w:r>
              <w:rPr>
                <w:rFonts w:hint="default" w:ascii="Times New Roman" w:hAnsi="Times New Roman" w:eastAsia="宋体" w:cs="Times New Roman"/>
                <w:color w:val="auto"/>
                <w:sz w:val="24"/>
              </w:rPr>
              <w:t>特斯特(江苏)检测科技有限公司于</w:t>
            </w:r>
            <w:r>
              <w:rPr>
                <w:rFonts w:hint="default" w:ascii="Times New Roman" w:hAnsi="Times New Roman" w:eastAsia="宋体" w:cs="Times New Roman"/>
                <w:color w:val="auto"/>
                <w:sz w:val="24"/>
                <w:lang w:val="en-US" w:eastAsia="zh-CN"/>
              </w:rPr>
              <w:t>2025.</w:t>
            </w:r>
            <w:r>
              <w:rPr>
                <w:rFonts w:hint="eastAsia" w:ascii="Times New Roman" w:hAnsi="Times New Roman" w:eastAsia="宋体" w:cs="Times New Roman"/>
                <w:color w:val="auto"/>
                <w:sz w:val="24"/>
                <w:lang w:val="en-US" w:eastAsia="zh-CN"/>
              </w:rPr>
              <w:t>12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01</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lang w:val="en-US" w:eastAsia="zh-CN"/>
              </w:rPr>
              <w:t>12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04</w:t>
            </w:r>
            <w:r>
              <w:rPr>
                <w:rFonts w:hint="default" w:ascii="Times New Roman" w:hAnsi="Times New Roman" w:eastAsia="宋体" w:cs="Times New Roman"/>
                <w:color w:val="auto"/>
                <w:sz w:val="24"/>
              </w:rPr>
              <w:t>对</w:t>
            </w:r>
            <w:r>
              <w:rPr>
                <w:rFonts w:hint="eastAsia" w:ascii="Times New Roman" w:hAnsi="Times New Roman" w:eastAsia="宋体" w:cs="Times New Roman"/>
                <w:color w:val="auto"/>
                <w:sz w:val="24"/>
                <w:lang w:val="en-US" w:eastAsia="zh-CN"/>
              </w:rPr>
              <w:t>G1</w:t>
            </w:r>
            <w:r>
              <w:rPr>
                <w:rFonts w:hint="default" w:ascii="Times New Roman" w:hAnsi="Times New Roman" w:eastAsia="宋体" w:cs="Times New Roman"/>
                <w:color w:val="auto"/>
                <w:sz w:val="24"/>
              </w:rPr>
              <w:t>项目所在地</w:t>
            </w:r>
            <w:r>
              <w:rPr>
                <w:rFonts w:hint="default"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金坛区儒林镇长湖路20号</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连续</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天的检测数据，引用因子为</w:t>
            </w:r>
            <w:r>
              <w:rPr>
                <w:rFonts w:hint="eastAsia"/>
                <w:color w:val="auto"/>
                <w:sz w:val="24"/>
                <w:szCs w:val="24"/>
                <w:lang w:val="en-US" w:eastAsia="zh-CN"/>
              </w:rPr>
              <w:t>总悬浮颗粒物</w:t>
            </w:r>
            <w:r>
              <w:rPr>
                <w:rFonts w:hint="default" w:ascii="Times New Roman" w:hAnsi="Times New Roman" w:eastAsia="宋体" w:cs="Times New Roman"/>
                <w:color w:val="auto"/>
                <w:sz w:val="24"/>
              </w:rPr>
              <w:t>。</w:t>
            </w:r>
          </w:p>
          <w:p w14:paraId="7F4BA80C">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引用数据有效性：①引用</w:t>
            </w:r>
            <w:r>
              <w:rPr>
                <w:rFonts w:hint="default" w:ascii="Times New Roman" w:hAnsi="Times New Roman" w:eastAsia="宋体" w:cs="Times New Roman"/>
                <w:color w:val="auto"/>
                <w:sz w:val="24"/>
                <w:lang w:val="en-US" w:eastAsia="zh-CN"/>
              </w:rPr>
              <w:t>2025.05.25</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5.05.27</w:t>
            </w:r>
            <w:r>
              <w:rPr>
                <w:rFonts w:hint="default" w:ascii="Times New Roman" w:hAnsi="Times New Roman" w:eastAsia="宋体" w:cs="Times New Roman"/>
                <w:color w:val="auto"/>
                <w:sz w:val="24"/>
              </w:rPr>
              <w:t>日非甲烷总烃连续</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天历史监测数据，</w:t>
            </w:r>
            <w:r>
              <w:rPr>
                <w:rFonts w:hint="default" w:ascii="Times New Roman" w:hAnsi="Times New Roman" w:eastAsia="宋体" w:cs="Times New Roman"/>
                <w:color w:val="auto"/>
                <w:sz w:val="24"/>
                <w:lang w:val="en-US" w:eastAsia="zh-CN"/>
              </w:rPr>
              <w:t>2025.</w:t>
            </w:r>
            <w:r>
              <w:rPr>
                <w:rFonts w:hint="eastAsia" w:ascii="Times New Roman" w:hAnsi="Times New Roman" w:eastAsia="宋体" w:cs="Times New Roman"/>
                <w:color w:val="auto"/>
                <w:sz w:val="24"/>
                <w:lang w:val="en-US" w:eastAsia="zh-CN"/>
              </w:rPr>
              <w:t>12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01</w:t>
            </w:r>
            <w:r>
              <w:rPr>
                <w:rFonts w:hint="default" w:ascii="Times New Roman" w:hAnsi="Times New Roman" w:eastAsia="宋体" w:cs="Times New Roman"/>
                <w:color w:val="auto"/>
                <w:sz w:val="24"/>
              </w:rPr>
              <w:t>-202</w:t>
            </w:r>
            <w:r>
              <w:rPr>
                <w:rFonts w:hint="default"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lang w:val="en-US" w:eastAsia="zh-CN"/>
              </w:rPr>
              <w:t>12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04日</w:t>
            </w:r>
            <w:r>
              <w:rPr>
                <w:rFonts w:hint="eastAsia"/>
                <w:color w:val="auto"/>
                <w:sz w:val="24"/>
                <w:szCs w:val="24"/>
                <w:lang w:val="en-US" w:eastAsia="zh-CN"/>
              </w:rPr>
              <w:t>总悬浮颗粒物</w:t>
            </w:r>
            <w:r>
              <w:rPr>
                <w:rFonts w:hint="default" w:ascii="Times New Roman" w:hAnsi="Times New Roman" w:eastAsia="宋体" w:cs="Times New Roman"/>
                <w:color w:val="auto"/>
                <w:sz w:val="24"/>
              </w:rPr>
              <w:t>连续</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天的</w:t>
            </w:r>
            <w:r>
              <w:rPr>
                <w:rFonts w:hint="eastAsia" w:ascii="Times New Roman" w:hAnsi="Times New Roman" w:eastAsia="宋体" w:cs="Times New Roman"/>
                <w:color w:val="auto"/>
                <w:sz w:val="24"/>
                <w:lang w:val="en-US" w:eastAsia="zh-CN"/>
              </w:rPr>
              <w:t>历史</w:t>
            </w:r>
            <w:r>
              <w:rPr>
                <w:rFonts w:hint="default" w:ascii="Times New Roman" w:hAnsi="Times New Roman" w:eastAsia="宋体" w:cs="Times New Roman"/>
                <w:color w:val="auto"/>
                <w:sz w:val="24"/>
              </w:rPr>
              <w:t>检测数据</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引用时间不超过3年，引用时间有效；②项目所在区域内污染源未发生重大变化，可引用3年内大气的检测数据；③引用点位在项目相关评价范围内，则大气引用点位有效。</w:t>
            </w:r>
          </w:p>
          <w:p w14:paraId="38058A4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本项目环境空气质量现状具体引用位置见表3-</w:t>
            </w:r>
            <w:r>
              <w:rPr>
                <w:rFonts w:hint="eastAsia" w:cs="Times New Roman"/>
                <w:color w:val="auto"/>
                <w:sz w:val="24"/>
                <w:lang w:val="en-US" w:eastAsia="zh-CN"/>
              </w:rPr>
              <w:t>5</w:t>
            </w:r>
            <w:r>
              <w:rPr>
                <w:rFonts w:hint="default" w:ascii="Times New Roman" w:hAnsi="Times New Roman" w:eastAsia="宋体" w:cs="Times New Roman"/>
                <w:color w:val="auto"/>
                <w:sz w:val="24"/>
              </w:rPr>
              <w:t>，大气环境现状引用结果见表3-</w:t>
            </w:r>
            <w:r>
              <w:rPr>
                <w:rFonts w:hint="eastAsia" w:cs="Times New Roman"/>
                <w:color w:val="auto"/>
                <w:sz w:val="24"/>
                <w:lang w:val="en-US" w:eastAsia="zh-CN"/>
              </w:rPr>
              <w:t>6</w:t>
            </w:r>
            <w:r>
              <w:rPr>
                <w:rFonts w:hint="default" w:ascii="Times New Roman" w:hAnsi="Times New Roman" w:eastAsia="宋体" w:cs="Times New Roman"/>
                <w:color w:val="auto"/>
                <w:sz w:val="24"/>
              </w:rPr>
              <w:t>。</w:t>
            </w:r>
          </w:p>
          <w:p w14:paraId="5B070E3A">
            <w:pPr>
              <w:spacing w:line="36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大气环境质量引用点位一览表</w:t>
            </w:r>
          </w:p>
          <w:tbl>
            <w:tblPr>
              <w:tblStyle w:val="260"/>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20"/>
              <w:gridCol w:w="1044"/>
              <w:gridCol w:w="914"/>
              <w:gridCol w:w="1706"/>
              <w:gridCol w:w="1970"/>
              <w:gridCol w:w="1038"/>
              <w:gridCol w:w="1186"/>
            </w:tblGrid>
            <w:tr w14:paraId="44B880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65" w:type="pct"/>
                  <w:vMerge w:val="restart"/>
                  <w:tcBorders>
                    <w:tl2br w:val="nil"/>
                    <w:tr2bl w:val="nil"/>
                  </w:tcBorders>
                  <w:noWrap w:val="0"/>
                  <w:vAlign w:val="center"/>
                </w:tcPr>
                <w:p w14:paraId="3C8427A0">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监测点名称</w:t>
                  </w:r>
                </w:p>
              </w:tc>
              <w:tc>
                <w:tcPr>
                  <w:tcW w:w="1054" w:type="pct"/>
                  <w:gridSpan w:val="2"/>
                  <w:tcBorders>
                    <w:tl2br w:val="nil"/>
                    <w:tr2bl w:val="nil"/>
                  </w:tcBorders>
                  <w:noWrap w:val="0"/>
                  <w:vAlign w:val="center"/>
                </w:tcPr>
                <w:p w14:paraId="2204DF6E">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监测点坐标</w:t>
                  </w:r>
                </w:p>
              </w:tc>
              <w:tc>
                <w:tcPr>
                  <w:tcW w:w="919" w:type="pct"/>
                  <w:vMerge w:val="restart"/>
                  <w:tcBorders>
                    <w:tl2br w:val="nil"/>
                    <w:tr2bl w:val="nil"/>
                  </w:tcBorders>
                  <w:noWrap w:val="0"/>
                  <w:vAlign w:val="center"/>
                </w:tcPr>
                <w:p w14:paraId="575CB424">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监测因子</w:t>
                  </w:r>
                </w:p>
              </w:tc>
              <w:tc>
                <w:tcPr>
                  <w:tcW w:w="1061" w:type="pct"/>
                  <w:vMerge w:val="restart"/>
                  <w:tcBorders>
                    <w:tl2br w:val="nil"/>
                    <w:tr2bl w:val="nil"/>
                  </w:tcBorders>
                  <w:noWrap w:val="0"/>
                  <w:vAlign w:val="center"/>
                </w:tcPr>
                <w:p w14:paraId="1F14B6CF">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监测时段</w:t>
                  </w:r>
                </w:p>
              </w:tc>
              <w:tc>
                <w:tcPr>
                  <w:tcW w:w="559" w:type="pct"/>
                  <w:vMerge w:val="restart"/>
                  <w:tcBorders>
                    <w:tl2br w:val="nil"/>
                    <w:tr2bl w:val="nil"/>
                  </w:tcBorders>
                  <w:noWrap w:val="0"/>
                  <w:vAlign w:val="center"/>
                </w:tcPr>
                <w:p w14:paraId="1231CD6E">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相对厂址方位</w:t>
                  </w:r>
                </w:p>
              </w:tc>
              <w:tc>
                <w:tcPr>
                  <w:tcW w:w="639" w:type="pct"/>
                  <w:vMerge w:val="restart"/>
                  <w:tcBorders>
                    <w:tl2br w:val="nil"/>
                    <w:tr2bl w:val="nil"/>
                  </w:tcBorders>
                  <w:noWrap w:val="0"/>
                  <w:vAlign w:val="center"/>
                </w:tcPr>
                <w:p w14:paraId="53018780">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相对厂界距离/m</w:t>
                  </w:r>
                </w:p>
              </w:tc>
            </w:tr>
            <w:tr w14:paraId="6F642F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65" w:type="pct"/>
                  <w:vMerge w:val="continue"/>
                  <w:tcBorders>
                    <w:tl2br w:val="nil"/>
                    <w:tr2bl w:val="nil"/>
                  </w:tcBorders>
                  <w:noWrap w:val="0"/>
                  <w:vAlign w:val="center"/>
                </w:tcPr>
                <w:p w14:paraId="4A3AD877">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p>
              </w:tc>
              <w:tc>
                <w:tcPr>
                  <w:tcW w:w="562" w:type="pct"/>
                  <w:tcBorders>
                    <w:tl2br w:val="nil"/>
                    <w:tr2bl w:val="nil"/>
                  </w:tcBorders>
                  <w:noWrap w:val="0"/>
                  <w:vAlign w:val="center"/>
                </w:tcPr>
                <w:p w14:paraId="2724D416">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经度</w:t>
                  </w:r>
                </w:p>
              </w:tc>
              <w:tc>
                <w:tcPr>
                  <w:tcW w:w="492" w:type="pct"/>
                  <w:tcBorders>
                    <w:tl2br w:val="nil"/>
                    <w:tr2bl w:val="nil"/>
                  </w:tcBorders>
                  <w:noWrap w:val="0"/>
                  <w:vAlign w:val="center"/>
                </w:tcPr>
                <w:p w14:paraId="3B6C968B">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纬度</w:t>
                  </w:r>
                </w:p>
              </w:tc>
              <w:tc>
                <w:tcPr>
                  <w:tcW w:w="919" w:type="pct"/>
                  <w:vMerge w:val="continue"/>
                  <w:tcBorders>
                    <w:tl2br w:val="nil"/>
                    <w:tr2bl w:val="nil"/>
                  </w:tcBorders>
                  <w:noWrap w:val="0"/>
                  <w:vAlign w:val="center"/>
                </w:tcPr>
                <w:p w14:paraId="633F36D1">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1061" w:type="pct"/>
                  <w:vMerge w:val="continue"/>
                  <w:tcBorders>
                    <w:tl2br w:val="nil"/>
                    <w:tr2bl w:val="nil"/>
                  </w:tcBorders>
                  <w:noWrap w:val="0"/>
                  <w:vAlign w:val="center"/>
                </w:tcPr>
                <w:p w14:paraId="3456EAF6">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59" w:type="pct"/>
                  <w:vMerge w:val="continue"/>
                  <w:tcBorders>
                    <w:tl2br w:val="nil"/>
                    <w:tr2bl w:val="nil"/>
                  </w:tcBorders>
                  <w:noWrap w:val="0"/>
                  <w:vAlign w:val="center"/>
                </w:tcPr>
                <w:p w14:paraId="4C2910AA">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639" w:type="pct"/>
                  <w:vMerge w:val="continue"/>
                  <w:tcBorders>
                    <w:tl2br w:val="nil"/>
                    <w:tr2bl w:val="nil"/>
                  </w:tcBorders>
                  <w:noWrap w:val="0"/>
                  <w:vAlign w:val="center"/>
                </w:tcPr>
                <w:p w14:paraId="5AC0F106">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r>
            <w:tr w14:paraId="11B678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65" w:type="pct"/>
                  <w:tcBorders>
                    <w:tl2br w:val="nil"/>
                    <w:tr2bl w:val="nil"/>
                  </w:tcBorders>
                  <w:noWrap w:val="0"/>
                  <w:vAlign w:val="center"/>
                </w:tcPr>
                <w:p w14:paraId="41EB1559">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lang w:val="en-US" w:eastAsia="zh-CN"/>
                    </w:rPr>
                    <w:t>儒林镇：洪邦新能源产业园</w:t>
                  </w:r>
                </w:p>
              </w:tc>
              <w:tc>
                <w:tcPr>
                  <w:tcW w:w="562" w:type="pct"/>
                  <w:tcBorders>
                    <w:tl2br w:val="nil"/>
                    <w:tr2bl w:val="nil"/>
                  </w:tcBorders>
                  <w:noWrap w:val="0"/>
                  <w:vAlign w:val="center"/>
                </w:tcPr>
                <w:p w14:paraId="463B508E">
                  <w:pPr>
                    <w:pStyle w:val="377"/>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rPr>
                    <w:t>119.662149</w:t>
                  </w:r>
                </w:p>
              </w:tc>
              <w:tc>
                <w:tcPr>
                  <w:tcW w:w="492" w:type="pct"/>
                  <w:tcBorders>
                    <w:tl2br w:val="nil"/>
                    <w:tr2bl w:val="nil"/>
                  </w:tcBorders>
                  <w:noWrap w:val="0"/>
                  <w:vAlign w:val="center"/>
                </w:tcPr>
                <w:p w14:paraId="3A67AED3">
                  <w:pPr>
                    <w:pStyle w:val="377"/>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rPr>
                    <w:t>31.624938</w:t>
                  </w:r>
                </w:p>
              </w:tc>
              <w:tc>
                <w:tcPr>
                  <w:tcW w:w="919" w:type="pct"/>
                  <w:tcBorders>
                    <w:tl2br w:val="nil"/>
                    <w:tr2bl w:val="nil"/>
                  </w:tcBorders>
                  <w:noWrap w:val="0"/>
                  <w:vAlign w:val="center"/>
                </w:tcPr>
                <w:p w14:paraId="72981698">
                  <w:pPr>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非甲烷总烃</w:t>
                  </w:r>
                </w:p>
              </w:tc>
              <w:tc>
                <w:tcPr>
                  <w:tcW w:w="1061" w:type="pct"/>
                  <w:tcBorders>
                    <w:tl2br w:val="nil"/>
                    <w:tr2bl w:val="nil"/>
                  </w:tcBorders>
                  <w:noWrap w:val="0"/>
                  <w:vAlign w:val="center"/>
                </w:tcPr>
                <w:p w14:paraId="6A3024D9">
                  <w:pPr>
                    <w:pStyle w:val="377"/>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2025.05.25-2025.05.27</w:t>
                  </w:r>
                </w:p>
              </w:tc>
              <w:tc>
                <w:tcPr>
                  <w:tcW w:w="559" w:type="pct"/>
                  <w:tcBorders>
                    <w:tl2br w:val="nil"/>
                    <w:tr2bl w:val="nil"/>
                  </w:tcBorders>
                  <w:noWrap w:val="0"/>
                  <w:vAlign w:val="center"/>
                </w:tcPr>
                <w:p w14:paraId="3CF7F7E1">
                  <w:pPr>
                    <w:pStyle w:val="377"/>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w:t>
                  </w:r>
                </w:p>
              </w:tc>
              <w:tc>
                <w:tcPr>
                  <w:tcW w:w="639" w:type="pct"/>
                  <w:tcBorders>
                    <w:tl2br w:val="nil"/>
                    <w:tr2bl w:val="nil"/>
                  </w:tcBorders>
                  <w:noWrap w:val="0"/>
                  <w:vAlign w:val="center"/>
                </w:tcPr>
                <w:p w14:paraId="73F52C46">
                  <w:pPr>
                    <w:pStyle w:val="377"/>
                    <w:keepNext w:val="0"/>
                    <w:keepLines w:val="0"/>
                    <w:pageBreakBefore w:val="0"/>
                    <w:widowControl/>
                    <w:kinsoku/>
                    <w:wordWrap/>
                    <w:overflowPunct/>
                    <w:topLinePunct/>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毗邻</w:t>
                  </w:r>
                </w:p>
              </w:tc>
            </w:tr>
            <w:tr w14:paraId="2D8C23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65" w:type="pct"/>
                  <w:tcBorders>
                    <w:tl2br w:val="nil"/>
                    <w:tr2bl w:val="nil"/>
                  </w:tcBorders>
                  <w:shd w:val="clear" w:color="auto" w:fill="auto"/>
                  <w:noWrap w:val="0"/>
                  <w:vAlign w:val="center"/>
                </w:tcPr>
                <w:p w14:paraId="146E23A0">
                  <w:pPr>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金坛区儒林镇长湖路20号</w:t>
                  </w:r>
                </w:p>
              </w:tc>
              <w:tc>
                <w:tcPr>
                  <w:tcW w:w="562" w:type="pct"/>
                  <w:tcBorders>
                    <w:tl2br w:val="nil"/>
                    <w:tr2bl w:val="nil"/>
                  </w:tcBorders>
                  <w:shd w:val="clear" w:color="auto" w:fill="auto"/>
                  <w:noWrap w:val="0"/>
                  <w:vAlign w:val="center"/>
                </w:tcPr>
                <w:p w14:paraId="6DE40AA5">
                  <w:pPr>
                    <w:pStyle w:val="377"/>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rPr>
                    <w:t>119.654188</w:t>
                  </w:r>
                </w:p>
              </w:tc>
              <w:tc>
                <w:tcPr>
                  <w:tcW w:w="492" w:type="pct"/>
                  <w:tcBorders>
                    <w:tl2br w:val="nil"/>
                    <w:tr2bl w:val="nil"/>
                  </w:tcBorders>
                  <w:shd w:val="clear" w:color="auto" w:fill="auto"/>
                  <w:noWrap w:val="0"/>
                  <w:vAlign w:val="center"/>
                </w:tcPr>
                <w:p w14:paraId="570272CB">
                  <w:pPr>
                    <w:pStyle w:val="377"/>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rPr>
                    <w:t>31.619340</w:t>
                  </w:r>
                </w:p>
              </w:tc>
              <w:tc>
                <w:tcPr>
                  <w:tcW w:w="919" w:type="pct"/>
                  <w:tcBorders>
                    <w:tl2br w:val="nil"/>
                    <w:tr2bl w:val="nil"/>
                  </w:tcBorders>
                  <w:shd w:val="clear" w:color="auto" w:fill="auto"/>
                  <w:noWrap w:val="0"/>
                  <w:vAlign w:val="center"/>
                </w:tcPr>
                <w:p w14:paraId="4BBBAB3B">
                  <w:pPr>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总悬浮颗粒物</w:t>
                  </w:r>
                </w:p>
              </w:tc>
              <w:tc>
                <w:tcPr>
                  <w:tcW w:w="1061" w:type="pct"/>
                  <w:tcBorders>
                    <w:tl2br w:val="nil"/>
                    <w:tr2bl w:val="nil"/>
                  </w:tcBorders>
                  <w:shd w:val="clear" w:color="auto" w:fill="auto"/>
                  <w:noWrap w:val="0"/>
                  <w:vAlign w:val="center"/>
                </w:tcPr>
                <w:p w14:paraId="15C2DCC8">
                  <w:pPr>
                    <w:pStyle w:val="377"/>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en-US" w:bidi="ar-SA"/>
                    </w:rPr>
                  </w:pPr>
                  <w:r>
                    <w:rPr>
                      <w:rFonts w:hint="default" w:ascii="Times New Roman" w:hAnsi="Times New Roman" w:eastAsia="宋体" w:cs="Times New Roman"/>
                      <w:color w:val="auto"/>
                      <w:spacing w:val="0"/>
                      <w:position w:val="0"/>
                      <w:sz w:val="21"/>
                      <w:szCs w:val="21"/>
                    </w:rPr>
                    <w:t>2025.12.01-2025.12.04</w:t>
                  </w:r>
                </w:p>
              </w:tc>
              <w:tc>
                <w:tcPr>
                  <w:tcW w:w="559" w:type="pct"/>
                  <w:tcBorders>
                    <w:tl2br w:val="nil"/>
                    <w:tr2bl w:val="nil"/>
                  </w:tcBorders>
                  <w:shd w:val="clear" w:color="auto" w:fill="auto"/>
                  <w:noWrap w:val="0"/>
                  <w:vAlign w:val="center"/>
                </w:tcPr>
                <w:p w14:paraId="5916074F">
                  <w:pPr>
                    <w:pStyle w:val="377"/>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NW</w:t>
                  </w:r>
                </w:p>
              </w:tc>
              <w:tc>
                <w:tcPr>
                  <w:tcW w:w="639" w:type="pct"/>
                  <w:tcBorders>
                    <w:tl2br w:val="nil"/>
                    <w:tr2bl w:val="nil"/>
                  </w:tcBorders>
                  <w:shd w:val="clear" w:color="auto" w:fill="auto"/>
                  <w:noWrap w:val="0"/>
                  <w:vAlign w:val="center"/>
                </w:tcPr>
                <w:p w14:paraId="45EBAF8D">
                  <w:pPr>
                    <w:pStyle w:val="377"/>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1000</w:t>
                  </w:r>
                </w:p>
              </w:tc>
            </w:tr>
          </w:tbl>
          <w:p w14:paraId="14CDD235">
            <w:pPr>
              <w:keepNext w:val="0"/>
              <w:keepLines w:val="0"/>
              <w:pageBreakBefore w:val="0"/>
              <w:widowControl w:val="0"/>
              <w:kinsoku/>
              <w:wordWrap/>
              <w:overflowPunct/>
              <w:topLinePunct w:val="0"/>
              <w:autoSpaceDE/>
              <w:autoSpaceDN/>
              <w:bidi w:val="0"/>
              <w:adjustRightInd/>
              <w:snapToGrid/>
              <w:spacing w:before="120" w:line="240" w:lineRule="auto"/>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大气环境现状引用结果</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lang w:eastAsia="zh-CN"/>
              </w:rPr>
              <w:t>）</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3010"/>
              <w:gridCol w:w="1565"/>
              <w:gridCol w:w="1275"/>
              <w:gridCol w:w="679"/>
              <w:gridCol w:w="913"/>
              <w:gridCol w:w="1164"/>
            </w:tblGrid>
            <w:tr w14:paraId="763EF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2" w:type="pct"/>
                  <w:vMerge w:val="restart"/>
                  <w:tcBorders>
                    <w:tl2br w:val="nil"/>
                    <w:tr2bl w:val="nil"/>
                  </w:tcBorders>
                  <w:noWrap w:val="0"/>
                  <w:vAlign w:val="center"/>
                </w:tcPr>
                <w:p w14:paraId="54840AC2">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bookmarkStart w:id="0" w:name="_Hlk130048704"/>
                  <w:r>
                    <w:rPr>
                      <w:rFonts w:hint="default" w:ascii="Times New Roman" w:hAnsi="Times New Roman" w:eastAsia="宋体" w:cs="Times New Roman"/>
                      <w:b/>
                      <w:bCs/>
                      <w:color w:val="auto"/>
                      <w:sz w:val="21"/>
                      <w:szCs w:val="21"/>
                    </w:rPr>
                    <w:t>序号</w:t>
                  </w:r>
                </w:p>
              </w:tc>
              <w:tc>
                <w:tcPr>
                  <w:tcW w:w="1622" w:type="pct"/>
                  <w:vMerge w:val="restart"/>
                  <w:tcBorders>
                    <w:tl2br w:val="nil"/>
                    <w:tr2bl w:val="nil"/>
                  </w:tcBorders>
                  <w:noWrap w:val="0"/>
                  <w:vAlign w:val="center"/>
                </w:tcPr>
                <w:p w14:paraId="241FCF1A">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点位名称</w:t>
                  </w:r>
                </w:p>
              </w:tc>
              <w:tc>
                <w:tcPr>
                  <w:tcW w:w="843" w:type="pct"/>
                  <w:vMerge w:val="restart"/>
                  <w:tcBorders>
                    <w:tl2br w:val="nil"/>
                    <w:tr2bl w:val="nil"/>
                  </w:tcBorders>
                  <w:noWrap w:val="0"/>
                  <w:vAlign w:val="center"/>
                </w:tcPr>
                <w:p w14:paraId="04E7D122">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污染物名称</w:t>
                  </w:r>
                </w:p>
              </w:tc>
              <w:tc>
                <w:tcPr>
                  <w:tcW w:w="2172" w:type="pct"/>
                  <w:gridSpan w:val="4"/>
                  <w:tcBorders>
                    <w:tl2br w:val="nil"/>
                    <w:tr2bl w:val="nil"/>
                  </w:tcBorders>
                  <w:noWrap w:val="0"/>
                  <w:vAlign w:val="center"/>
                </w:tcPr>
                <w:p w14:paraId="63186B4D">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小时浓度（mg/m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r>
            <w:tr w14:paraId="7A0748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2" w:type="pct"/>
                  <w:vMerge w:val="continue"/>
                  <w:tcBorders>
                    <w:tl2br w:val="nil"/>
                    <w:tr2bl w:val="nil"/>
                  </w:tcBorders>
                  <w:noWrap w:val="0"/>
                  <w:vAlign w:val="center"/>
                </w:tcPr>
                <w:p w14:paraId="27B32B4F">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rPr>
                  </w:pPr>
                </w:p>
              </w:tc>
              <w:tc>
                <w:tcPr>
                  <w:tcW w:w="1622" w:type="pct"/>
                  <w:vMerge w:val="continue"/>
                  <w:tcBorders>
                    <w:tl2br w:val="nil"/>
                    <w:tr2bl w:val="nil"/>
                  </w:tcBorders>
                  <w:noWrap w:val="0"/>
                  <w:vAlign w:val="center"/>
                </w:tcPr>
                <w:p w14:paraId="707DC59E">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rPr>
                  </w:pPr>
                </w:p>
              </w:tc>
              <w:tc>
                <w:tcPr>
                  <w:tcW w:w="843" w:type="pct"/>
                  <w:vMerge w:val="continue"/>
                  <w:tcBorders>
                    <w:tl2br w:val="nil"/>
                    <w:tr2bl w:val="nil"/>
                  </w:tcBorders>
                  <w:noWrap w:val="0"/>
                  <w:vAlign w:val="center"/>
                </w:tcPr>
                <w:p w14:paraId="1B32E697">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rPr>
                  </w:pPr>
                </w:p>
              </w:tc>
              <w:tc>
                <w:tcPr>
                  <w:tcW w:w="687" w:type="pct"/>
                  <w:tcBorders>
                    <w:tl2br w:val="nil"/>
                    <w:tr2bl w:val="nil"/>
                  </w:tcBorders>
                  <w:noWrap w:val="0"/>
                  <w:vAlign w:val="center"/>
                </w:tcPr>
                <w:p w14:paraId="608F6704">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实测值</w:t>
                  </w:r>
                </w:p>
              </w:tc>
              <w:tc>
                <w:tcPr>
                  <w:tcW w:w="366" w:type="pct"/>
                  <w:tcBorders>
                    <w:tl2br w:val="nil"/>
                    <w:tr2bl w:val="nil"/>
                  </w:tcBorders>
                  <w:noWrap w:val="0"/>
                  <w:vAlign w:val="center"/>
                </w:tcPr>
                <w:p w14:paraId="488E3D8A">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w:t>
                  </w:r>
                </w:p>
              </w:tc>
              <w:tc>
                <w:tcPr>
                  <w:tcW w:w="492" w:type="pct"/>
                  <w:tcBorders>
                    <w:tl2br w:val="nil"/>
                    <w:tr2bl w:val="nil"/>
                  </w:tcBorders>
                  <w:noWrap w:val="0"/>
                  <w:vAlign w:val="center"/>
                </w:tcPr>
                <w:p w14:paraId="5A58EE15">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超标率</w:t>
                  </w:r>
                </w:p>
              </w:tc>
              <w:tc>
                <w:tcPr>
                  <w:tcW w:w="626" w:type="pct"/>
                  <w:tcBorders>
                    <w:tl2br w:val="nil"/>
                    <w:tr2bl w:val="nil"/>
                  </w:tcBorders>
                  <w:noWrap w:val="0"/>
                  <w:vAlign w:val="center"/>
                </w:tcPr>
                <w:p w14:paraId="2A78D398">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最大超标倍数</w:t>
                  </w:r>
                </w:p>
              </w:tc>
            </w:tr>
            <w:tr w14:paraId="1F98C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2" w:type="pct"/>
                  <w:tcBorders>
                    <w:tl2br w:val="nil"/>
                    <w:tr2bl w:val="nil"/>
                  </w:tcBorders>
                  <w:noWrap w:val="0"/>
                  <w:vAlign w:val="center"/>
                </w:tcPr>
                <w:p w14:paraId="07D5C34E">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O3</w:t>
                  </w:r>
                </w:p>
              </w:tc>
              <w:tc>
                <w:tcPr>
                  <w:tcW w:w="1622" w:type="pct"/>
                  <w:tcBorders>
                    <w:tl2br w:val="nil"/>
                    <w:tr2bl w:val="nil"/>
                  </w:tcBorders>
                  <w:noWrap w:val="0"/>
                  <w:vAlign w:val="center"/>
                </w:tcPr>
                <w:p w14:paraId="2BCBE9C7">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0"/>
                      <w:position w:val="0"/>
                      <w:sz w:val="21"/>
                      <w:szCs w:val="21"/>
                      <w:lang w:val="en-US" w:eastAsia="zh-CN"/>
                    </w:rPr>
                    <w:t>儒林镇：洪邦新能源产业园</w:t>
                  </w:r>
                </w:p>
              </w:tc>
              <w:tc>
                <w:tcPr>
                  <w:tcW w:w="843" w:type="pct"/>
                  <w:tcBorders>
                    <w:tl2br w:val="nil"/>
                    <w:tr2bl w:val="nil"/>
                  </w:tcBorders>
                  <w:noWrap w:val="0"/>
                  <w:vAlign w:val="center"/>
                </w:tcPr>
                <w:p w14:paraId="6BD77EFB">
                  <w:pPr>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非甲烷总烃</w:t>
                  </w:r>
                </w:p>
              </w:tc>
              <w:tc>
                <w:tcPr>
                  <w:tcW w:w="687" w:type="pct"/>
                  <w:tcBorders>
                    <w:tl2br w:val="nil"/>
                    <w:tr2bl w:val="nil"/>
                  </w:tcBorders>
                  <w:noWrap w:val="0"/>
                  <w:vAlign w:val="center"/>
                </w:tcPr>
                <w:p w14:paraId="73C29093">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0.10~0.92</w:t>
                  </w:r>
                </w:p>
              </w:tc>
              <w:tc>
                <w:tcPr>
                  <w:tcW w:w="366" w:type="pct"/>
                  <w:tcBorders>
                    <w:tl2br w:val="nil"/>
                    <w:tr2bl w:val="nil"/>
                  </w:tcBorders>
                  <w:noWrap w:val="0"/>
                  <w:vAlign w:val="center"/>
                </w:tcPr>
                <w:p w14:paraId="6D2F163A">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92" w:type="pct"/>
                  <w:tcBorders>
                    <w:tl2br w:val="nil"/>
                    <w:tr2bl w:val="nil"/>
                  </w:tcBorders>
                  <w:noWrap w:val="0"/>
                  <w:vAlign w:val="center"/>
                </w:tcPr>
                <w:p w14:paraId="6454F17E">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w:t>
                  </w:r>
                </w:p>
              </w:tc>
              <w:tc>
                <w:tcPr>
                  <w:tcW w:w="626" w:type="pct"/>
                  <w:tcBorders>
                    <w:tl2br w:val="nil"/>
                    <w:tr2bl w:val="nil"/>
                  </w:tcBorders>
                  <w:noWrap w:val="0"/>
                  <w:vAlign w:val="center"/>
                </w:tcPr>
                <w:p w14:paraId="74E4555C">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r>
            <w:tr w14:paraId="2FA7A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2" w:type="pct"/>
                  <w:tcBorders>
                    <w:tl2br w:val="nil"/>
                    <w:tr2bl w:val="nil"/>
                  </w:tcBorders>
                  <w:noWrap w:val="0"/>
                  <w:vAlign w:val="center"/>
                </w:tcPr>
                <w:p w14:paraId="2CA8308B">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G1</w:t>
                  </w:r>
                </w:p>
              </w:tc>
              <w:tc>
                <w:tcPr>
                  <w:tcW w:w="1622" w:type="pct"/>
                  <w:tcBorders>
                    <w:tl2br w:val="nil"/>
                    <w:tr2bl w:val="nil"/>
                  </w:tcBorders>
                  <w:noWrap w:val="0"/>
                  <w:vAlign w:val="center"/>
                </w:tcPr>
                <w:p w14:paraId="511D0219">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金坛区儒林镇长湖路20号</w:t>
                  </w:r>
                </w:p>
              </w:tc>
              <w:tc>
                <w:tcPr>
                  <w:tcW w:w="843" w:type="pct"/>
                  <w:tcBorders>
                    <w:tl2br w:val="nil"/>
                    <w:tr2bl w:val="nil"/>
                  </w:tcBorders>
                  <w:noWrap w:val="0"/>
                  <w:vAlign w:val="center"/>
                </w:tcPr>
                <w:p w14:paraId="48733699">
                  <w:pPr>
                    <w:keepNext w:val="0"/>
                    <w:keepLines w:val="0"/>
                    <w:pageBreakBefore w:val="0"/>
                    <w:widowControl/>
                    <w:kinsoku/>
                    <w:wordWrap/>
                    <w:overflowPunct/>
                    <w:topLinePunct/>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eastAsia" w:ascii="Times New Roman" w:hAnsi="Times New Roman" w:eastAsia="宋体" w:cs="Times New Roman"/>
                      <w:color w:val="auto"/>
                      <w:spacing w:val="0"/>
                      <w:position w:val="0"/>
                      <w:sz w:val="21"/>
                      <w:szCs w:val="21"/>
                      <w:lang w:val="en-US" w:eastAsia="zh-CN"/>
                    </w:rPr>
                    <w:t>总悬浮颗粒物</w:t>
                  </w:r>
                </w:p>
              </w:tc>
              <w:tc>
                <w:tcPr>
                  <w:tcW w:w="687" w:type="pct"/>
                  <w:tcBorders>
                    <w:tl2br w:val="nil"/>
                    <w:tr2bl w:val="nil"/>
                  </w:tcBorders>
                  <w:noWrap w:val="0"/>
                  <w:vAlign w:val="center"/>
                </w:tcPr>
                <w:p w14:paraId="3EA36550">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0.105~0.178</w:t>
                  </w:r>
                </w:p>
              </w:tc>
              <w:tc>
                <w:tcPr>
                  <w:tcW w:w="366" w:type="pct"/>
                  <w:tcBorders>
                    <w:tl2br w:val="nil"/>
                    <w:tr2bl w:val="nil"/>
                  </w:tcBorders>
                  <w:noWrap w:val="0"/>
                  <w:vAlign w:val="center"/>
                </w:tcPr>
                <w:p w14:paraId="7ED97C63">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0.3</w:t>
                  </w:r>
                </w:p>
              </w:tc>
              <w:tc>
                <w:tcPr>
                  <w:tcW w:w="913" w:type="dxa"/>
                  <w:tcBorders>
                    <w:tl2br w:val="nil"/>
                    <w:tr2bl w:val="nil"/>
                  </w:tcBorders>
                  <w:noWrap w:val="0"/>
                  <w:vAlign w:val="center"/>
                </w:tcPr>
                <w:p w14:paraId="1E688F98">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164" w:type="dxa"/>
                  <w:tcBorders>
                    <w:tl2br w:val="nil"/>
                    <w:tr2bl w:val="nil"/>
                  </w:tcBorders>
                  <w:noWrap w:val="0"/>
                  <w:vAlign w:val="center"/>
                </w:tcPr>
                <w:p w14:paraId="1579E096">
                  <w:pPr>
                    <w:pStyle w:val="385"/>
                    <w:keepNext w:val="0"/>
                    <w:keepLines w:val="0"/>
                    <w:pageBreakBefore w:val="0"/>
                    <w:kinsoku/>
                    <w:wordWrap/>
                    <w:overflowPunct/>
                    <w:autoSpaceDE/>
                    <w:autoSpaceDN/>
                    <w:bidi w:val="0"/>
                    <w:spacing w:line="240" w:lineRule="auto"/>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bookmarkEnd w:id="0"/>
          </w:tbl>
          <w:p w14:paraId="6B426304">
            <w:pPr>
              <w:spacing w:line="360" w:lineRule="auto"/>
              <w:ind w:firstLine="480" w:firstLineChars="200"/>
              <w:rPr>
                <w:rFonts w:hint="default" w:ascii="Times New Roman" w:hAnsi="Times New Roman" w:eastAsia="宋体" w:cs="Times New Roman"/>
                <w:snapToGrid w:val="0"/>
                <w:color w:val="auto"/>
                <w:szCs w:val="20"/>
              </w:rPr>
            </w:pPr>
            <w:r>
              <w:rPr>
                <w:rFonts w:hint="default" w:ascii="Times New Roman" w:hAnsi="Times New Roman" w:eastAsia="宋体" w:cs="Times New Roman"/>
                <w:color w:val="auto"/>
                <w:sz w:val="24"/>
              </w:rPr>
              <w:t>由上表可知，项目所在地附近周围环境空气中非甲烷总烃</w:t>
            </w:r>
            <w:r>
              <w:rPr>
                <w:rFonts w:hint="default" w:ascii="Times New Roman" w:hAnsi="Times New Roman" w:eastAsia="宋体" w:cs="Times New Roman"/>
                <w:color w:val="auto"/>
                <w:sz w:val="24"/>
                <w:szCs w:val="24"/>
              </w:rPr>
              <w:t>未出现超标现象，均满足项目所在地区的环境功能区划要求</w:t>
            </w:r>
            <w:r>
              <w:rPr>
                <w:rFonts w:hint="default" w:ascii="Times New Roman" w:hAnsi="Times New Roman" w:eastAsia="宋体" w:cs="Times New Roman"/>
                <w:color w:val="auto"/>
                <w:sz w:val="24"/>
              </w:rPr>
              <w:t>。</w:t>
            </w:r>
          </w:p>
          <w:p w14:paraId="75936D54">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3、声环境</w:t>
            </w:r>
          </w:p>
          <w:p w14:paraId="1EB878DC">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3.1声环境质量评价标准</w:t>
            </w:r>
          </w:p>
          <w:p w14:paraId="0D34ACBE">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本项目周边50m范围内无敏感点，无需对厂界进行监测，根据声环境功能区规划图可知，</w:t>
            </w:r>
            <w:r>
              <w:rPr>
                <w:rFonts w:hint="eastAsia" w:cs="Times New Roman"/>
                <w:color w:val="auto"/>
                <w:sz w:val="24"/>
                <w:lang w:val="en-US" w:eastAsia="zh-CN"/>
              </w:rPr>
              <w:t>根据《</w:t>
            </w:r>
            <w:r>
              <w:rPr>
                <w:rFonts w:hint="default"/>
                <w:color w:val="auto"/>
                <w:sz w:val="24"/>
              </w:rPr>
              <w:t>江苏省金坛经济开发区儒林现代产业园发展规划环境影响评价报告书</w:t>
            </w:r>
            <w:r>
              <w:rPr>
                <w:rFonts w:hint="eastAsia" w:cs="Times New Roman"/>
                <w:color w:val="auto"/>
                <w:sz w:val="24"/>
                <w:lang w:val="en-US" w:eastAsia="zh-CN"/>
              </w:rPr>
              <w:t>》，工业区执行3类标准，</w:t>
            </w:r>
            <w:r>
              <w:rPr>
                <w:rFonts w:hint="default" w:ascii="Times New Roman" w:hAnsi="Times New Roman" w:eastAsia="宋体" w:cs="Times New Roman"/>
                <w:color w:val="auto"/>
                <w:sz w:val="24"/>
              </w:rPr>
              <w:t>本项目所在区域</w:t>
            </w:r>
            <w:r>
              <w:rPr>
                <w:rFonts w:hint="eastAsia" w:cs="Times New Roman"/>
                <w:color w:val="auto"/>
                <w:sz w:val="24"/>
                <w:lang w:val="en-US" w:eastAsia="zh-CN"/>
              </w:rPr>
              <w:t>为工业区（详见附图10），因此</w:t>
            </w:r>
            <w:r>
              <w:rPr>
                <w:rFonts w:hint="default" w:ascii="Times New Roman" w:hAnsi="Times New Roman" w:eastAsia="宋体" w:cs="Times New Roman"/>
                <w:color w:val="auto"/>
                <w:sz w:val="24"/>
              </w:rPr>
              <w:t>声环境质量现状划分为《声环境质量标准》</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GB3096-2008</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中3类标准。</w:t>
            </w:r>
          </w:p>
          <w:p w14:paraId="066FC729">
            <w:pPr>
              <w:ind w:firstLine="0" w:firstLineChars="0"/>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3.2声环境质量状况</w:t>
            </w:r>
          </w:p>
          <w:p w14:paraId="7D2C368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rPr>
              <w:t>本项目周边50米范围内无敏感点，因此无需开展噪声现状调查。</w:t>
            </w:r>
          </w:p>
          <w:p w14:paraId="7881F846">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4、生态环境</w:t>
            </w:r>
          </w:p>
          <w:p w14:paraId="4A2EF4E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本项目位于</w:t>
            </w:r>
            <w:r>
              <w:rPr>
                <w:rFonts w:hint="default" w:ascii="Times New Roman" w:hAnsi="Times New Roman" w:eastAsia="宋体" w:cs="Times New Roman"/>
                <w:color w:val="auto"/>
                <w:sz w:val="24"/>
                <w:szCs w:val="24"/>
                <w:lang w:eastAsia="zh-CN"/>
              </w:rPr>
              <w:t>金坛区儒林现代产业园</w:t>
            </w:r>
            <w:r>
              <w:rPr>
                <w:rFonts w:hint="default" w:ascii="Times New Roman" w:hAnsi="Times New Roman" w:eastAsia="宋体" w:cs="Times New Roman"/>
                <w:color w:val="auto"/>
                <w:sz w:val="24"/>
                <w:szCs w:val="24"/>
                <w:lang w:val="zh-CN"/>
              </w:rPr>
              <w:t>，用地范围内无生态环境保护目标，无需进行生态现状调查。</w:t>
            </w:r>
          </w:p>
          <w:p w14:paraId="1C451DCE">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5、电磁辐射</w:t>
            </w:r>
          </w:p>
          <w:p w14:paraId="756FCD58">
            <w:pPr>
              <w:ind w:firstLine="420"/>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本项目主要从事[C</w:t>
            </w:r>
            <w:r>
              <w:rPr>
                <w:rFonts w:hint="default" w:ascii="Times New Roman" w:hAnsi="Times New Roman" w:eastAsia="宋体" w:cs="Times New Roman"/>
                <w:color w:val="auto"/>
                <w:sz w:val="24"/>
                <w:szCs w:val="24"/>
                <w:lang w:val="en-US" w:eastAsia="zh-CN"/>
              </w:rPr>
              <w:t>2929</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lang w:eastAsia="zh-CN"/>
              </w:rPr>
              <w:t>塑料零件及其他塑料制品制造</w:t>
            </w:r>
            <w:r>
              <w:rPr>
                <w:rFonts w:hint="default" w:ascii="Times New Roman" w:hAnsi="Times New Roman" w:eastAsia="宋体" w:cs="Times New Roman"/>
                <w:color w:val="auto"/>
                <w:sz w:val="24"/>
                <w:szCs w:val="24"/>
                <w:lang w:val="zh-CN"/>
              </w:rPr>
              <w:t>，不属于电磁辐射类项目，本次不进行辐射评价。</w:t>
            </w:r>
          </w:p>
          <w:p w14:paraId="3BD4FE94">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6、地下水环境</w:t>
            </w:r>
          </w:p>
          <w:p w14:paraId="64DB8C4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根据《建设项目环境影响报告表编制技术指南（污染影响类）》中相关要求，地下水环境原则上不开展环境质量现状调查。</w:t>
            </w:r>
          </w:p>
          <w:p w14:paraId="7E595265">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本项目建设地点位于</w:t>
            </w:r>
            <w:r>
              <w:rPr>
                <w:rFonts w:hint="default" w:ascii="Times New Roman" w:hAnsi="Times New Roman" w:eastAsia="宋体" w:cs="Times New Roman"/>
                <w:color w:val="auto"/>
                <w:sz w:val="24"/>
                <w:szCs w:val="24"/>
                <w:lang w:eastAsia="zh-CN"/>
              </w:rPr>
              <w:t>金坛区儒林现代产业园</w:t>
            </w:r>
            <w:r>
              <w:rPr>
                <w:rFonts w:hint="default" w:ascii="Times New Roman" w:hAnsi="Times New Roman" w:eastAsia="宋体" w:cs="Times New Roman"/>
                <w:color w:val="auto"/>
                <w:sz w:val="24"/>
                <w:szCs w:val="24"/>
              </w:rPr>
              <w:t>，用地性质为工业用地，项目500m范围内无地下集中式饮用水水源和热水、矿泉水、温泉等特殊地下水资源；本项目主要的地下水污染途径为液态原辅料和危险废物的渗漏，主要涉及到的污染物为原辅料（</w:t>
            </w:r>
            <w:r>
              <w:rPr>
                <w:rFonts w:hint="default" w:ascii="Times New Roman" w:hAnsi="Times New Roman" w:eastAsia="宋体" w:cs="Times New Roman"/>
                <w:color w:val="auto"/>
                <w:sz w:val="24"/>
                <w:szCs w:val="24"/>
                <w:lang w:eastAsia="zh-CN"/>
              </w:rPr>
              <w:t>ESO、齿轮油</w:t>
            </w:r>
            <w:r>
              <w:rPr>
                <w:rFonts w:hint="default" w:ascii="Times New Roman" w:hAnsi="Times New Roman" w:eastAsia="宋体" w:cs="Times New Roman"/>
                <w:color w:val="auto"/>
                <w:sz w:val="24"/>
                <w:szCs w:val="24"/>
              </w:rPr>
              <w:t>等）、危险废物（</w:t>
            </w:r>
            <w:r>
              <w:rPr>
                <w:rFonts w:hint="eastAsia" w:cs="Times New Roman"/>
                <w:color w:val="auto"/>
                <w:sz w:val="24"/>
                <w:szCs w:val="24"/>
                <w:lang w:val="en-US" w:eastAsia="zh-CN"/>
              </w:rPr>
              <w:t>冷却废液、</w:t>
            </w:r>
            <w:r>
              <w:rPr>
                <w:rFonts w:hint="default" w:ascii="Times New Roman" w:hAnsi="Times New Roman" w:eastAsia="宋体" w:cs="Times New Roman"/>
                <w:color w:val="auto"/>
                <w:sz w:val="24"/>
                <w:szCs w:val="24"/>
                <w:lang w:eastAsia="zh-CN"/>
              </w:rPr>
              <w:t>废包装桶、废齿轮油、</w:t>
            </w:r>
            <w:r>
              <w:rPr>
                <w:rFonts w:hint="eastAsia" w:cs="Times New Roman"/>
                <w:color w:val="auto"/>
                <w:sz w:val="24"/>
                <w:szCs w:val="24"/>
                <w:lang w:eastAsia="zh-CN"/>
              </w:rPr>
              <w:t>废抹布手套</w:t>
            </w:r>
            <w:r>
              <w:rPr>
                <w:rFonts w:hint="default" w:ascii="Times New Roman" w:hAnsi="Times New Roman" w:eastAsia="宋体" w:cs="Times New Roman"/>
                <w:color w:val="auto"/>
                <w:sz w:val="24"/>
                <w:szCs w:val="24"/>
                <w:lang w:eastAsia="zh-CN"/>
              </w:rPr>
              <w:t>、废活性炭</w:t>
            </w:r>
            <w:r>
              <w:rPr>
                <w:rFonts w:hint="default"/>
                <w:color w:val="auto"/>
                <w:sz w:val="24"/>
                <w:szCs w:val="24"/>
              </w:rPr>
              <w:t>、沾染大豆油的废布袋、油泥</w:t>
            </w:r>
            <w:r>
              <w:rPr>
                <w:rFonts w:hint="default" w:ascii="Times New Roman" w:hAnsi="Times New Roman" w:eastAsia="宋体" w:cs="Times New Roman"/>
                <w:color w:val="auto"/>
                <w:sz w:val="24"/>
                <w:szCs w:val="24"/>
              </w:rPr>
              <w:t>等）；生产辅料储存于原辅料区内，地面做好防渗漏措施，加强使用过程中对人员和取用流程的管控，能有效防止其渗漏；危险废物暂存于危废暂存间内，危废暂存间拟按照《危险废物贮存污染控制标准》（GB18597-20</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）的要求采取防渗防漏措施，能有效防止地下水污染；采取了辅料和危险废物渗漏防治措施后本项目对于周边的保护目标基本无影响。</w:t>
            </w:r>
          </w:p>
          <w:p w14:paraId="5B40223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7、土壤环境</w:t>
            </w:r>
          </w:p>
          <w:p w14:paraId="68145664">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根据《建设项目环境影响报告表编制技术指南（污染影响类）》中相关要求，土壤环境原则上不开展环境质量现状调查。本项目建设地点位于</w:t>
            </w:r>
            <w:r>
              <w:rPr>
                <w:rFonts w:hint="default" w:ascii="Times New Roman" w:hAnsi="Times New Roman" w:eastAsia="宋体" w:cs="Times New Roman"/>
                <w:color w:val="auto"/>
                <w:sz w:val="24"/>
                <w:szCs w:val="24"/>
                <w:lang w:eastAsia="zh-CN"/>
              </w:rPr>
              <w:t>金坛区儒林现代产业园</w:t>
            </w:r>
            <w:r>
              <w:rPr>
                <w:rFonts w:hint="default" w:ascii="Times New Roman" w:hAnsi="Times New Roman" w:eastAsia="宋体" w:cs="Times New Roman"/>
                <w:color w:val="auto"/>
                <w:sz w:val="24"/>
                <w:szCs w:val="24"/>
              </w:rPr>
              <w:t>，用地性质为工业用地，本项目主要的土壤污染途径为液态原辅料和危险废物的渗漏，主要涉及到的污染物为原辅料（</w:t>
            </w:r>
            <w:r>
              <w:rPr>
                <w:rFonts w:hint="default" w:ascii="Times New Roman" w:hAnsi="Times New Roman" w:eastAsia="宋体" w:cs="Times New Roman"/>
                <w:color w:val="auto"/>
                <w:sz w:val="24"/>
                <w:szCs w:val="24"/>
                <w:lang w:eastAsia="zh-CN"/>
              </w:rPr>
              <w:t>ESO、齿轮油</w:t>
            </w:r>
            <w:r>
              <w:rPr>
                <w:rFonts w:hint="default" w:ascii="Times New Roman" w:hAnsi="Times New Roman" w:eastAsia="宋体" w:cs="Times New Roman"/>
                <w:color w:val="auto"/>
                <w:sz w:val="24"/>
                <w:szCs w:val="24"/>
              </w:rPr>
              <w:t>等）、危险废物（</w:t>
            </w:r>
            <w:r>
              <w:rPr>
                <w:rFonts w:hint="eastAsia" w:cs="Times New Roman"/>
                <w:color w:val="auto"/>
                <w:sz w:val="24"/>
                <w:szCs w:val="24"/>
                <w:lang w:val="en-US" w:eastAsia="zh-CN"/>
              </w:rPr>
              <w:t>冷却废液、</w:t>
            </w:r>
            <w:r>
              <w:rPr>
                <w:rFonts w:hint="default" w:ascii="Times New Roman" w:hAnsi="Times New Roman" w:eastAsia="宋体" w:cs="Times New Roman"/>
                <w:color w:val="auto"/>
                <w:sz w:val="24"/>
                <w:szCs w:val="24"/>
                <w:lang w:eastAsia="zh-CN"/>
              </w:rPr>
              <w:t>废包装桶、废齿轮油、</w:t>
            </w:r>
            <w:r>
              <w:rPr>
                <w:rFonts w:hint="eastAsia" w:cs="Times New Roman"/>
                <w:color w:val="auto"/>
                <w:sz w:val="24"/>
                <w:szCs w:val="24"/>
                <w:lang w:eastAsia="zh-CN"/>
              </w:rPr>
              <w:t>废抹布手套</w:t>
            </w:r>
            <w:r>
              <w:rPr>
                <w:rFonts w:hint="default" w:ascii="Times New Roman" w:hAnsi="Times New Roman" w:eastAsia="宋体" w:cs="Times New Roman"/>
                <w:color w:val="auto"/>
                <w:sz w:val="24"/>
                <w:szCs w:val="24"/>
                <w:lang w:eastAsia="zh-CN"/>
              </w:rPr>
              <w:t>、废活性炭</w:t>
            </w:r>
            <w:r>
              <w:rPr>
                <w:rFonts w:hint="default"/>
                <w:color w:val="auto"/>
                <w:sz w:val="24"/>
                <w:szCs w:val="24"/>
              </w:rPr>
              <w:t>、沾染大豆油的废布袋、油泥</w:t>
            </w:r>
            <w:r>
              <w:rPr>
                <w:rFonts w:hint="default" w:ascii="Times New Roman" w:hAnsi="Times New Roman" w:eastAsia="宋体" w:cs="Times New Roman"/>
                <w:color w:val="auto"/>
                <w:sz w:val="24"/>
                <w:szCs w:val="24"/>
              </w:rPr>
              <w:t>等）；生产辅料储存于原辅料区内，地面做好防渗漏措施，加强使用过程中对人员和取用流程的管控，能有效防止其渗漏；危险废物暂存于危废暂存间内，危废暂存间拟按照《危险废物贮存污染控制标准》（GB18597-20</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）的要求采取防渗防漏措施，能有效防止土壤污染。</w:t>
            </w:r>
          </w:p>
        </w:tc>
      </w:tr>
      <w:tr w14:paraId="0687A6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32" w:hRule="atLeast"/>
          <w:jc w:val="center"/>
        </w:trPr>
        <w:tc>
          <w:tcPr>
            <w:tcW w:w="468" w:type="dxa"/>
            <w:noWrap w:val="0"/>
            <w:vAlign w:val="center"/>
          </w:tcPr>
          <w:p w14:paraId="78E3BEC4">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主要环境保护目标</w:t>
            </w:r>
          </w:p>
        </w:tc>
        <w:tc>
          <w:tcPr>
            <w:tcW w:w="9501" w:type="dxa"/>
            <w:noWrap w:val="0"/>
            <w:vAlign w:val="center"/>
          </w:tcPr>
          <w:p w14:paraId="69C95CC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根据现场勘查，项目周边</w:t>
            </w:r>
            <w:r>
              <w:rPr>
                <w:rFonts w:hint="default" w:ascii="Times New Roman" w:hAnsi="Times New Roman" w:eastAsia="宋体" w:cs="Times New Roman"/>
                <w:color w:val="auto"/>
                <w:sz w:val="24"/>
                <w:szCs w:val="24"/>
                <w:lang w:val="en-US" w:eastAsia="zh-CN"/>
              </w:rPr>
              <w:t>500米内无</w:t>
            </w:r>
            <w:r>
              <w:rPr>
                <w:rFonts w:hint="eastAsia" w:cs="Times New Roman"/>
                <w:color w:val="auto"/>
                <w:sz w:val="24"/>
                <w:szCs w:val="24"/>
                <w:lang w:val="en-US" w:eastAsia="zh-CN"/>
              </w:rPr>
              <w:t>大气</w:t>
            </w:r>
            <w:r>
              <w:rPr>
                <w:rFonts w:hint="default" w:ascii="Times New Roman" w:hAnsi="Times New Roman" w:eastAsia="宋体" w:cs="Times New Roman"/>
                <w:color w:val="auto"/>
                <w:sz w:val="24"/>
                <w:szCs w:val="24"/>
              </w:rPr>
              <w:t>保护目标</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项目周边环境保护目标见下表。</w:t>
            </w:r>
          </w:p>
          <w:p w14:paraId="66F42F6E">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7</w:t>
            </w:r>
            <w:r>
              <w:rPr>
                <w:rFonts w:hint="default" w:ascii="Times New Roman" w:hAnsi="Times New Roman" w:eastAsia="宋体" w:cs="Times New Roman"/>
                <w:b/>
                <w:bCs/>
                <w:color w:val="auto"/>
                <w:sz w:val="21"/>
                <w:szCs w:val="21"/>
              </w:rPr>
              <w:t xml:space="preserve"> 项目周边</w:t>
            </w:r>
            <w:r>
              <w:rPr>
                <w:rFonts w:hint="default" w:ascii="Times New Roman" w:hAnsi="Times New Roman" w:eastAsia="宋体" w:cs="Times New Roman"/>
                <w:b/>
                <w:bCs/>
                <w:color w:val="auto"/>
                <w:sz w:val="21"/>
                <w:szCs w:val="21"/>
                <w:lang w:val="en-US" w:eastAsia="zh-CN"/>
              </w:rPr>
              <w:t>其他</w:t>
            </w:r>
            <w:r>
              <w:rPr>
                <w:rFonts w:hint="default" w:ascii="Times New Roman" w:hAnsi="Times New Roman" w:eastAsia="宋体" w:cs="Times New Roman"/>
                <w:b/>
                <w:bCs/>
                <w:color w:val="auto"/>
                <w:sz w:val="21"/>
                <w:szCs w:val="21"/>
              </w:rPr>
              <w:t>环境保护目标</w:t>
            </w:r>
            <w:r>
              <w:rPr>
                <w:rFonts w:hint="default" w:ascii="Times New Roman" w:hAnsi="Times New Roman" w:eastAsia="宋体" w:cs="Times New Roman"/>
                <w:b/>
                <w:bCs/>
                <w:color w:val="auto"/>
                <w:sz w:val="21"/>
                <w:szCs w:val="21"/>
                <w:lang w:val="en-US" w:eastAsia="zh-CN"/>
              </w:rPr>
              <w:t>一览</w:t>
            </w:r>
            <w:r>
              <w:rPr>
                <w:rFonts w:hint="default" w:ascii="Times New Roman" w:hAnsi="Times New Roman" w:eastAsia="宋体" w:cs="Times New Roman"/>
                <w:b/>
                <w:bCs/>
                <w:color w:val="auto"/>
                <w:sz w:val="21"/>
                <w:szCs w:val="21"/>
              </w:rPr>
              <w:t>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53"/>
              <w:gridCol w:w="1547"/>
              <w:gridCol w:w="1430"/>
              <w:gridCol w:w="1161"/>
              <w:gridCol w:w="954"/>
              <w:gridCol w:w="2108"/>
              <w:gridCol w:w="682"/>
              <w:gridCol w:w="750"/>
            </w:tblGrid>
            <w:tr w14:paraId="1575D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vMerge w:val="restart"/>
                  <w:tcBorders>
                    <w:tl2br w:val="nil"/>
                    <w:tr2bl w:val="nil"/>
                  </w:tcBorders>
                  <w:noWrap w:val="0"/>
                  <w:tcMar>
                    <w:top w:w="0" w:type="dxa"/>
                    <w:left w:w="0" w:type="dxa"/>
                    <w:bottom w:w="0" w:type="dxa"/>
                    <w:right w:w="0" w:type="dxa"/>
                  </w:tcMar>
                  <w:vAlign w:val="center"/>
                </w:tcPr>
                <w:p w14:paraId="0E791F2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保护项目</w:t>
                  </w:r>
                </w:p>
              </w:tc>
              <w:tc>
                <w:tcPr>
                  <w:tcW w:w="1603" w:type="pct"/>
                  <w:gridSpan w:val="2"/>
                  <w:tcBorders>
                    <w:tl2br w:val="nil"/>
                    <w:tr2bl w:val="nil"/>
                  </w:tcBorders>
                  <w:noWrap w:val="0"/>
                  <w:tcMar>
                    <w:top w:w="0" w:type="dxa"/>
                    <w:left w:w="0" w:type="dxa"/>
                    <w:bottom w:w="0" w:type="dxa"/>
                    <w:right w:w="0" w:type="dxa"/>
                  </w:tcMar>
                  <w:vAlign w:val="center"/>
                </w:tcPr>
                <w:p w14:paraId="6E7C51B2">
                  <w:pPr>
                    <w:keepNext/>
                    <w:keepLines/>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坐标</w:t>
                  </w:r>
                </w:p>
              </w:tc>
              <w:tc>
                <w:tcPr>
                  <w:tcW w:w="625" w:type="pct"/>
                  <w:vMerge w:val="restart"/>
                  <w:tcBorders>
                    <w:tl2br w:val="nil"/>
                    <w:tr2bl w:val="nil"/>
                  </w:tcBorders>
                  <w:noWrap w:val="0"/>
                  <w:tcMar>
                    <w:top w:w="0" w:type="dxa"/>
                    <w:left w:w="0" w:type="dxa"/>
                    <w:bottom w:w="0" w:type="dxa"/>
                    <w:right w:w="0" w:type="dxa"/>
                  </w:tcMar>
                  <w:vAlign w:val="center"/>
                </w:tcPr>
                <w:p w14:paraId="06510DD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保护对象</w:t>
                  </w:r>
                </w:p>
              </w:tc>
              <w:tc>
                <w:tcPr>
                  <w:tcW w:w="513" w:type="pct"/>
                  <w:vMerge w:val="restart"/>
                  <w:tcBorders>
                    <w:tl2br w:val="nil"/>
                    <w:tr2bl w:val="nil"/>
                  </w:tcBorders>
                  <w:noWrap w:val="0"/>
                  <w:tcMar>
                    <w:top w:w="0" w:type="dxa"/>
                    <w:left w:w="0" w:type="dxa"/>
                    <w:bottom w:w="0" w:type="dxa"/>
                    <w:right w:w="0" w:type="dxa"/>
                  </w:tcMar>
                  <w:vAlign w:val="center"/>
                </w:tcPr>
                <w:p w14:paraId="2C268C0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保护内容</w:t>
                  </w:r>
                </w:p>
              </w:tc>
              <w:tc>
                <w:tcPr>
                  <w:tcW w:w="1135" w:type="pct"/>
                  <w:vMerge w:val="restart"/>
                  <w:tcBorders>
                    <w:tl2br w:val="nil"/>
                    <w:tr2bl w:val="nil"/>
                  </w:tcBorders>
                  <w:noWrap w:val="0"/>
                  <w:tcMar>
                    <w:top w:w="0" w:type="dxa"/>
                    <w:left w:w="0" w:type="dxa"/>
                    <w:bottom w:w="0" w:type="dxa"/>
                    <w:right w:w="0" w:type="dxa"/>
                  </w:tcMar>
                  <w:vAlign w:val="center"/>
                </w:tcPr>
                <w:p w14:paraId="22BF9F1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环境功能区</w:t>
                  </w:r>
                </w:p>
              </w:tc>
              <w:tc>
                <w:tcPr>
                  <w:tcW w:w="367" w:type="pct"/>
                  <w:vMerge w:val="restart"/>
                  <w:tcBorders>
                    <w:tl2br w:val="nil"/>
                    <w:tr2bl w:val="nil"/>
                  </w:tcBorders>
                  <w:noWrap w:val="0"/>
                  <w:tcMar>
                    <w:top w:w="0" w:type="dxa"/>
                    <w:left w:w="0" w:type="dxa"/>
                    <w:bottom w:w="0" w:type="dxa"/>
                    <w:right w:w="0" w:type="dxa"/>
                  </w:tcMar>
                  <w:vAlign w:val="center"/>
                </w:tcPr>
                <w:p w14:paraId="4C2313F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相对厂址方位</w:t>
                  </w:r>
                </w:p>
              </w:tc>
              <w:tc>
                <w:tcPr>
                  <w:tcW w:w="402" w:type="pct"/>
                  <w:vMerge w:val="restart"/>
                  <w:tcBorders>
                    <w:tl2br w:val="nil"/>
                    <w:tr2bl w:val="nil"/>
                  </w:tcBorders>
                  <w:noWrap w:val="0"/>
                  <w:tcMar>
                    <w:top w:w="0" w:type="dxa"/>
                    <w:left w:w="0" w:type="dxa"/>
                    <w:bottom w:w="0" w:type="dxa"/>
                    <w:right w:w="0" w:type="dxa"/>
                  </w:tcMar>
                  <w:vAlign w:val="center"/>
                </w:tcPr>
                <w:p w14:paraId="05D00FD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相对厂界最近距离/m</w:t>
                  </w:r>
                </w:p>
              </w:tc>
            </w:tr>
            <w:tr w14:paraId="6F666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vMerge w:val="continue"/>
                  <w:tcBorders>
                    <w:tl2br w:val="nil"/>
                    <w:tr2bl w:val="nil"/>
                  </w:tcBorders>
                  <w:noWrap w:val="0"/>
                  <w:tcMar>
                    <w:top w:w="0" w:type="dxa"/>
                    <w:left w:w="0" w:type="dxa"/>
                    <w:bottom w:w="0" w:type="dxa"/>
                    <w:right w:w="0" w:type="dxa"/>
                  </w:tcMar>
                  <w:vAlign w:val="center"/>
                </w:tcPr>
                <w:p w14:paraId="35678C0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c>
                <w:tcPr>
                  <w:tcW w:w="833" w:type="pct"/>
                  <w:tcBorders>
                    <w:tl2br w:val="nil"/>
                    <w:tr2bl w:val="nil"/>
                  </w:tcBorders>
                  <w:noWrap w:val="0"/>
                  <w:tcMar>
                    <w:top w:w="0" w:type="dxa"/>
                    <w:left w:w="0" w:type="dxa"/>
                    <w:bottom w:w="0" w:type="dxa"/>
                    <w:right w:w="0" w:type="dxa"/>
                  </w:tcMar>
                  <w:vAlign w:val="center"/>
                </w:tcPr>
                <w:p w14:paraId="0CEBB2EE">
                  <w:pPr>
                    <w:keepNext/>
                    <w:keepLines/>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w:t>
                  </w:r>
                </w:p>
              </w:tc>
              <w:tc>
                <w:tcPr>
                  <w:tcW w:w="770" w:type="pct"/>
                  <w:tcBorders>
                    <w:tl2br w:val="nil"/>
                    <w:tr2bl w:val="nil"/>
                  </w:tcBorders>
                  <w:noWrap w:val="0"/>
                  <w:tcMar>
                    <w:top w:w="0" w:type="dxa"/>
                    <w:left w:w="0" w:type="dxa"/>
                    <w:bottom w:w="0" w:type="dxa"/>
                    <w:right w:w="0" w:type="dxa"/>
                  </w:tcMar>
                  <w:vAlign w:val="center"/>
                </w:tcPr>
                <w:p w14:paraId="44516AD9">
                  <w:pPr>
                    <w:keepNext/>
                    <w:keepLines/>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w:t>
                  </w:r>
                </w:p>
              </w:tc>
              <w:tc>
                <w:tcPr>
                  <w:tcW w:w="625" w:type="pct"/>
                  <w:vMerge w:val="continue"/>
                  <w:tcBorders>
                    <w:tl2br w:val="nil"/>
                    <w:tr2bl w:val="nil"/>
                  </w:tcBorders>
                  <w:noWrap w:val="0"/>
                  <w:tcMar>
                    <w:top w:w="0" w:type="dxa"/>
                    <w:left w:w="0" w:type="dxa"/>
                    <w:bottom w:w="0" w:type="dxa"/>
                    <w:right w:w="0" w:type="dxa"/>
                  </w:tcMar>
                  <w:vAlign w:val="center"/>
                </w:tcPr>
                <w:p w14:paraId="5A9C287D">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c>
                <w:tcPr>
                  <w:tcW w:w="513" w:type="pct"/>
                  <w:vMerge w:val="continue"/>
                  <w:tcBorders>
                    <w:tl2br w:val="nil"/>
                    <w:tr2bl w:val="nil"/>
                  </w:tcBorders>
                  <w:noWrap w:val="0"/>
                  <w:tcMar>
                    <w:top w:w="0" w:type="dxa"/>
                    <w:left w:w="0" w:type="dxa"/>
                    <w:bottom w:w="0" w:type="dxa"/>
                    <w:right w:w="0" w:type="dxa"/>
                  </w:tcMar>
                  <w:vAlign w:val="center"/>
                </w:tcPr>
                <w:p w14:paraId="7D4F375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c>
                <w:tcPr>
                  <w:tcW w:w="1135" w:type="pct"/>
                  <w:vMerge w:val="continue"/>
                  <w:tcBorders>
                    <w:tl2br w:val="nil"/>
                    <w:tr2bl w:val="nil"/>
                  </w:tcBorders>
                  <w:noWrap w:val="0"/>
                  <w:tcMar>
                    <w:top w:w="0" w:type="dxa"/>
                    <w:left w:w="0" w:type="dxa"/>
                    <w:bottom w:w="0" w:type="dxa"/>
                    <w:right w:w="0" w:type="dxa"/>
                  </w:tcMar>
                  <w:vAlign w:val="center"/>
                </w:tcPr>
                <w:p w14:paraId="3B76006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c>
                <w:tcPr>
                  <w:tcW w:w="367" w:type="pct"/>
                  <w:vMerge w:val="continue"/>
                  <w:tcBorders>
                    <w:tl2br w:val="nil"/>
                    <w:tr2bl w:val="nil"/>
                  </w:tcBorders>
                  <w:noWrap w:val="0"/>
                  <w:tcMar>
                    <w:top w:w="0" w:type="dxa"/>
                    <w:left w:w="0" w:type="dxa"/>
                    <w:bottom w:w="0" w:type="dxa"/>
                    <w:right w:w="0" w:type="dxa"/>
                  </w:tcMar>
                  <w:vAlign w:val="center"/>
                </w:tcPr>
                <w:p w14:paraId="40A87B0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c>
                <w:tcPr>
                  <w:tcW w:w="402" w:type="pct"/>
                  <w:vMerge w:val="continue"/>
                  <w:tcBorders>
                    <w:tl2br w:val="nil"/>
                    <w:tr2bl w:val="nil"/>
                  </w:tcBorders>
                  <w:noWrap w:val="0"/>
                  <w:tcMar>
                    <w:top w:w="0" w:type="dxa"/>
                    <w:left w:w="0" w:type="dxa"/>
                    <w:bottom w:w="0" w:type="dxa"/>
                    <w:right w:w="0" w:type="dxa"/>
                  </w:tcMar>
                  <w:vAlign w:val="center"/>
                </w:tcPr>
                <w:p w14:paraId="3C66DE8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rPr>
                  </w:pPr>
                </w:p>
              </w:tc>
            </w:tr>
            <w:tr w14:paraId="1D565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352" w:type="pct"/>
                  <w:vMerge w:val="restart"/>
                  <w:tcBorders>
                    <w:tl2br w:val="nil"/>
                    <w:tr2bl w:val="nil"/>
                  </w:tcBorders>
                  <w:noWrap w:val="0"/>
                  <w:tcMar>
                    <w:top w:w="0" w:type="dxa"/>
                    <w:left w:w="0" w:type="dxa"/>
                    <w:bottom w:w="0" w:type="dxa"/>
                    <w:right w:w="0" w:type="dxa"/>
                  </w:tcMar>
                  <w:vAlign w:val="center"/>
                </w:tcPr>
                <w:p w14:paraId="50D2A3B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833" w:type="pct"/>
                  <w:tcBorders>
                    <w:tl2br w:val="nil"/>
                    <w:tr2bl w:val="nil"/>
                  </w:tcBorders>
                  <w:shd w:val="clear" w:color="auto" w:fill="auto"/>
                  <w:noWrap w:val="0"/>
                  <w:tcMar>
                    <w:top w:w="0" w:type="dxa"/>
                    <w:left w:w="0" w:type="dxa"/>
                    <w:bottom w:w="0" w:type="dxa"/>
                    <w:right w:w="0" w:type="dxa"/>
                  </w:tcMar>
                  <w:vAlign w:val="center"/>
                </w:tcPr>
                <w:p w14:paraId="1FB7F18C">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70" w:type="pct"/>
                  <w:tcBorders>
                    <w:tl2br w:val="nil"/>
                    <w:tr2bl w:val="nil"/>
                  </w:tcBorders>
                  <w:shd w:val="clear" w:color="auto" w:fill="auto"/>
                  <w:noWrap w:val="0"/>
                  <w:tcMar>
                    <w:top w:w="0" w:type="dxa"/>
                    <w:left w:w="0" w:type="dxa"/>
                    <w:bottom w:w="0" w:type="dxa"/>
                    <w:right w:w="0" w:type="dxa"/>
                  </w:tcMar>
                  <w:vAlign w:val="center"/>
                </w:tcPr>
                <w:p w14:paraId="0ED1162F">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625" w:type="pct"/>
                  <w:tcBorders>
                    <w:tl2br w:val="nil"/>
                    <w:tr2bl w:val="nil"/>
                  </w:tcBorders>
                  <w:noWrap w:val="0"/>
                  <w:tcMar>
                    <w:top w:w="0" w:type="dxa"/>
                    <w:left w:w="0" w:type="dxa"/>
                    <w:bottom w:w="0" w:type="dxa"/>
                    <w:right w:w="0" w:type="dxa"/>
                  </w:tcMar>
                  <w:vAlign w:val="center"/>
                </w:tcPr>
                <w:p w14:paraId="3ABDB7A0">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北干河</w:t>
                  </w:r>
                </w:p>
              </w:tc>
              <w:tc>
                <w:tcPr>
                  <w:tcW w:w="513" w:type="pct"/>
                  <w:vMerge w:val="restart"/>
                  <w:tcBorders>
                    <w:tl2br w:val="nil"/>
                    <w:tr2bl w:val="nil"/>
                  </w:tcBorders>
                  <w:noWrap w:val="0"/>
                  <w:tcMar>
                    <w:top w:w="0" w:type="dxa"/>
                    <w:left w:w="0" w:type="dxa"/>
                    <w:bottom w:w="0" w:type="dxa"/>
                    <w:right w:w="0" w:type="dxa"/>
                  </w:tcMar>
                  <w:vAlign w:val="center"/>
                </w:tcPr>
                <w:p w14:paraId="7687A8C5">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河流</w:t>
                  </w:r>
                </w:p>
              </w:tc>
              <w:tc>
                <w:tcPr>
                  <w:tcW w:w="1135" w:type="pct"/>
                  <w:tcBorders>
                    <w:tl2br w:val="nil"/>
                    <w:tr2bl w:val="nil"/>
                  </w:tcBorders>
                  <w:noWrap w:val="0"/>
                  <w:tcMar>
                    <w:top w:w="0" w:type="dxa"/>
                    <w:left w:w="0" w:type="dxa"/>
                    <w:bottom w:w="0" w:type="dxa"/>
                    <w:right w:w="0" w:type="dxa"/>
                  </w:tcMar>
                  <w:vAlign w:val="center"/>
                </w:tcPr>
                <w:p w14:paraId="7BB541E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color w:val="auto"/>
                      <w:sz w:val="21"/>
                      <w:szCs w:val="21"/>
                      <w:lang w:eastAsia="zh-CN"/>
                    </w:rPr>
                    <w:t>Ⅲ类</w:t>
                  </w:r>
                  <w:r>
                    <w:rPr>
                      <w:rFonts w:hint="default" w:ascii="Times New Roman" w:hAnsi="Times New Roman" w:eastAsia="宋体" w:cs="Times New Roman"/>
                      <w:color w:val="auto"/>
                      <w:sz w:val="21"/>
                      <w:szCs w:val="21"/>
                    </w:rPr>
                    <w:t>区</w:t>
                  </w:r>
                </w:p>
              </w:tc>
              <w:tc>
                <w:tcPr>
                  <w:tcW w:w="367" w:type="pct"/>
                  <w:tcBorders>
                    <w:tl2br w:val="nil"/>
                    <w:tr2bl w:val="nil"/>
                  </w:tcBorders>
                  <w:noWrap w:val="0"/>
                  <w:tcMar>
                    <w:top w:w="0" w:type="dxa"/>
                    <w:left w:w="0" w:type="dxa"/>
                    <w:bottom w:w="0" w:type="dxa"/>
                    <w:right w:w="0" w:type="dxa"/>
                  </w:tcMar>
                  <w:vAlign w:val="center"/>
                </w:tcPr>
                <w:p w14:paraId="7F890908">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402" w:type="pct"/>
                  <w:tcBorders>
                    <w:tl2br w:val="nil"/>
                    <w:tr2bl w:val="nil"/>
                  </w:tcBorders>
                  <w:noWrap w:val="0"/>
                  <w:tcMar>
                    <w:top w:w="0" w:type="dxa"/>
                    <w:left w:w="0" w:type="dxa"/>
                    <w:bottom w:w="0" w:type="dxa"/>
                    <w:right w:w="0" w:type="dxa"/>
                  </w:tcMar>
                  <w:vAlign w:val="center"/>
                </w:tcPr>
                <w:p w14:paraId="05FB5247">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1500</w:t>
                  </w:r>
                </w:p>
              </w:tc>
            </w:tr>
            <w:tr w14:paraId="3730B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352" w:type="pct"/>
                  <w:vMerge w:val="continue"/>
                  <w:tcBorders>
                    <w:tl2br w:val="nil"/>
                    <w:tr2bl w:val="nil"/>
                  </w:tcBorders>
                  <w:noWrap w:val="0"/>
                  <w:tcMar>
                    <w:top w:w="0" w:type="dxa"/>
                    <w:left w:w="0" w:type="dxa"/>
                    <w:bottom w:w="0" w:type="dxa"/>
                    <w:right w:w="0" w:type="dxa"/>
                  </w:tcMar>
                  <w:vAlign w:val="center"/>
                </w:tcPr>
                <w:p w14:paraId="4984148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547" w:type="dxa"/>
                  <w:tcBorders>
                    <w:tl2br w:val="nil"/>
                    <w:tr2bl w:val="nil"/>
                  </w:tcBorders>
                  <w:noWrap w:val="0"/>
                  <w:tcMar>
                    <w:top w:w="0" w:type="dxa"/>
                    <w:left w:w="0" w:type="dxa"/>
                    <w:bottom w:w="0" w:type="dxa"/>
                    <w:right w:w="0" w:type="dxa"/>
                  </w:tcMar>
                  <w:vAlign w:val="center"/>
                </w:tcPr>
                <w:p w14:paraId="3B960239">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430" w:type="dxa"/>
                  <w:tcBorders>
                    <w:tl2br w:val="nil"/>
                    <w:tr2bl w:val="nil"/>
                  </w:tcBorders>
                  <w:noWrap w:val="0"/>
                  <w:tcMar>
                    <w:top w:w="0" w:type="dxa"/>
                    <w:left w:w="0" w:type="dxa"/>
                    <w:bottom w:w="0" w:type="dxa"/>
                    <w:right w:w="0" w:type="dxa"/>
                  </w:tcMar>
                  <w:vAlign w:val="center"/>
                </w:tcPr>
                <w:p w14:paraId="75F2D5D1">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625" w:type="pct"/>
                  <w:tcBorders>
                    <w:tl2br w:val="nil"/>
                    <w:tr2bl w:val="nil"/>
                  </w:tcBorders>
                  <w:noWrap w:val="0"/>
                  <w:tcMar>
                    <w:top w:w="0" w:type="dxa"/>
                    <w:left w:w="0" w:type="dxa"/>
                    <w:bottom w:w="0" w:type="dxa"/>
                    <w:right w:w="0" w:type="dxa"/>
                  </w:tcMar>
                  <w:vAlign w:val="center"/>
                </w:tcPr>
                <w:p w14:paraId="2CCC5198">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儒林河</w:t>
                  </w:r>
                </w:p>
              </w:tc>
              <w:tc>
                <w:tcPr>
                  <w:tcW w:w="513" w:type="pct"/>
                  <w:vMerge w:val="continue"/>
                  <w:tcBorders>
                    <w:tl2br w:val="nil"/>
                    <w:tr2bl w:val="nil"/>
                  </w:tcBorders>
                  <w:noWrap w:val="0"/>
                  <w:tcMar>
                    <w:top w:w="0" w:type="dxa"/>
                    <w:left w:w="0" w:type="dxa"/>
                    <w:bottom w:w="0" w:type="dxa"/>
                    <w:right w:w="0" w:type="dxa"/>
                  </w:tcMar>
                  <w:vAlign w:val="center"/>
                </w:tcPr>
                <w:p w14:paraId="7444157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35" w:type="pct"/>
                  <w:tcBorders>
                    <w:tl2br w:val="nil"/>
                    <w:tr2bl w:val="nil"/>
                  </w:tcBorders>
                  <w:noWrap w:val="0"/>
                  <w:tcMar>
                    <w:top w:w="0" w:type="dxa"/>
                    <w:left w:w="0" w:type="dxa"/>
                    <w:bottom w:w="0" w:type="dxa"/>
                    <w:right w:w="0" w:type="dxa"/>
                  </w:tcMar>
                  <w:vAlign w:val="center"/>
                </w:tcPr>
                <w:p w14:paraId="5F379FB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color w:val="auto"/>
                      <w:sz w:val="21"/>
                      <w:szCs w:val="21"/>
                      <w:lang w:eastAsia="zh-CN"/>
                    </w:rPr>
                    <w:t>Ⅲ类</w:t>
                  </w:r>
                  <w:r>
                    <w:rPr>
                      <w:rFonts w:hint="default" w:ascii="Times New Roman" w:hAnsi="Times New Roman" w:eastAsia="宋体" w:cs="Times New Roman"/>
                      <w:color w:val="auto"/>
                      <w:sz w:val="21"/>
                      <w:szCs w:val="21"/>
                    </w:rPr>
                    <w:t>区</w:t>
                  </w:r>
                </w:p>
              </w:tc>
              <w:tc>
                <w:tcPr>
                  <w:tcW w:w="367" w:type="pct"/>
                  <w:tcBorders>
                    <w:tl2br w:val="nil"/>
                    <w:tr2bl w:val="nil"/>
                  </w:tcBorders>
                  <w:noWrap w:val="0"/>
                  <w:tcMar>
                    <w:top w:w="0" w:type="dxa"/>
                    <w:left w:w="0" w:type="dxa"/>
                    <w:bottom w:w="0" w:type="dxa"/>
                    <w:right w:w="0" w:type="dxa"/>
                  </w:tcMar>
                  <w:vAlign w:val="center"/>
                </w:tcPr>
                <w:p w14:paraId="14BE2C17">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SW</w:t>
                  </w:r>
                </w:p>
              </w:tc>
              <w:tc>
                <w:tcPr>
                  <w:tcW w:w="402" w:type="pct"/>
                  <w:tcBorders>
                    <w:tl2br w:val="nil"/>
                    <w:tr2bl w:val="nil"/>
                  </w:tcBorders>
                  <w:noWrap w:val="0"/>
                  <w:tcMar>
                    <w:top w:w="0" w:type="dxa"/>
                    <w:left w:w="0" w:type="dxa"/>
                    <w:bottom w:w="0" w:type="dxa"/>
                    <w:right w:w="0" w:type="dxa"/>
                  </w:tcMar>
                  <w:vAlign w:val="center"/>
                </w:tcPr>
                <w:p w14:paraId="475B623A">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4300</w:t>
                  </w:r>
                </w:p>
              </w:tc>
            </w:tr>
            <w:tr w14:paraId="199AB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352" w:type="pct"/>
                  <w:vMerge w:val="continue"/>
                  <w:tcBorders>
                    <w:tl2br w:val="nil"/>
                    <w:tr2bl w:val="nil"/>
                  </w:tcBorders>
                  <w:noWrap w:val="0"/>
                  <w:tcMar>
                    <w:top w:w="0" w:type="dxa"/>
                    <w:left w:w="0" w:type="dxa"/>
                    <w:bottom w:w="0" w:type="dxa"/>
                    <w:right w:w="0" w:type="dxa"/>
                  </w:tcMar>
                  <w:vAlign w:val="center"/>
                </w:tcPr>
                <w:p w14:paraId="0838107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3" w:type="pct"/>
                  <w:tcBorders>
                    <w:tl2br w:val="nil"/>
                    <w:tr2bl w:val="nil"/>
                  </w:tcBorders>
                  <w:noWrap w:val="0"/>
                  <w:tcMar>
                    <w:top w:w="0" w:type="dxa"/>
                    <w:left w:w="0" w:type="dxa"/>
                    <w:bottom w:w="0" w:type="dxa"/>
                    <w:right w:w="0" w:type="dxa"/>
                  </w:tcMar>
                  <w:vAlign w:val="center"/>
                </w:tcPr>
                <w:p w14:paraId="0CE6DE6C">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c>
                <w:tcPr>
                  <w:tcW w:w="770" w:type="pct"/>
                  <w:tcBorders>
                    <w:tl2br w:val="nil"/>
                    <w:tr2bl w:val="nil"/>
                  </w:tcBorders>
                  <w:noWrap w:val="0"/>
                  <w:tcMar>
                    <w:top w:w="0" w:type="dxa"/>
                    <w:left w:w="0" w:type="dxa"/>
                    <w:bottom w:w="0" w:type="dxa"/>
                    <w:right w:w="0" w:type="dxa"/>
                  </w:tcMar>
                  <w:vAlign w:val="center"/>
                </w:tcPr>
                <w:p w14:paraId="7AA534FE">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625" w:type="pct"/>
                  <w:tcBorders>
                    <w:tl2br w:val="nil"/>
                    <w:tr2bl w:val="nil"/>
                  </w:tcBorders>
                  <w:noWrap w:val="0"/>
                  <w:tcMar>
                    <w:top w:w="0" w:type="dxa"/>
                    <w:left w:w="0" w:type="dxa"/>
                    <w:bottom w:w="0" w:type="dxa"/>
                    <w:right w:w="0" w:type="dxa"/>
                  </w:tcMar>
                  <w:vAlign w:val="center"/>
                </w:tcPr>
                <w:p w14:paraId="28A0FDD5">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新孟河</w:t>
                  </w:r>
                </w:p>
              </w:tc>
              <w:tc>
                <w:tcPr>
                  <w:tcW w:w="513" w:type="pct"/>
                  <w:vMerge w:val="continue"/>
                  <w:tcBorders>
                    <w:tl2br w:val="nil"/>
                    <w:tr2bl w:val="nil"/>
                  </w:tcBorders>
                  <w:noWrap w:val="0"/>
                  <w:tcMar>
                    <w:top w:w="0" w:type="dxa"/>
                    <w:left w:w="0" w:type="dxa"/>
                    <w:bottom w:w="0" w:type="dxa"/>
                    <w:right w:w="0" w:type="dxa"/>
                  </w:tcMar>
                  <w:vAlign w:val="center"/>
                </w:tcPr>
                <w:p w14:paraId="7DC8F87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1135" w:type="pct"/>
                  <w:tcBorders>
                    <w:tl2br w:val="nil"/>
                    <w:tr2bl w:val="nil"/>
                  </w:tcBorders>
                  <w:noWrap w:val="0"/>
                  <w:tcMar>
                    <w:top w:w="0" w:type="dxa"/>
                    <w:left w:w="0" w:type="dxa"/>
                    <w:bottom w:w="0" w:type="dxa"/>
                    <w:right w:w="0" w:type="dxa"/>
                  </w:tcMar>
                  <w:vAlign w:val="center"/>
                </w:tcPr>
                <w:p w14:paraId="591E3AD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r>
                    <w:rPr>
                      <w:rFonts w:hint="default" w:ascii="Times New Roman" w:hAnsi="Times New Roman" w:eastAsia="宋体" w:cs="Times New Roman"/>
                      <w:color w:val="auto"/>
                      <w:sz w:val="21"/>
                      <w:szCs w:val="21"/>
                      <w:lang w:eastAsia="zh-CN"/>
                    </w:rPr>
                    <w:t>Ⅲ类</w:t>
                  </w:r>
                  <w:r>
                    <w:rPr>
                      <w:rFonts w:hint="default" w:ascii="Times New Roman" w:hAnsi="Times New Roman" w:eastAsia="宋体" w:cs="Times New Roman"/>
                      <w:color w:val="auto"/>
                      <w:sz w:val="21"/>
                      <w:szCs w:val="21"/>
                    </w:rPr>
                    <w:t>区</w:t>
                  </w:r>
                </w:p>
              </w:tc>
              <w:tc>
                <w:tcPr>
                  <w:tcW w:w="367" w:type="pct"/>
                  <w:tcBorders>
                    <w:tl2br w:val="nil"/>
                    <w:tr2bl w:val="nil"/>
                  </w:tcBorders>
                  <w:noWrap w:val="0"/>
                  <w:tcMar>
                    <w:top w:w="0" w:type="dxa"/>
                    <w:left w:w="0" w:type="dxa"/>
                    <w:bottom w:w="0" w:type="dxa"/>
                    <w:right w:w="0" w:type="dxa"/>
                  </w:tcMar>
                  <w:vAlign w:val="center"/>
                </w:tcPr>
                <w:p w14:paraId="54A891DF">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E</w:t>
                  </w:r>
                </w:p>
              </w:tc>
              <w:tc>
                <w:tcPr>
                  <w:tcW w:w="402" w:type="pct"/>
                  <w:tcBorders>
                    <w:tl2br w:val="nil"/>
                    <w:tr2bl w:val="nil"/>
                  </w:tcBorders>
                  <w:noWrap w:val="0"/>
                  <w:tcMar>
                    <w:top w:w="0" w:type="dxa"/>
                    <w:left w:w="0" w:type="dxa"/>
                    <w:bottom w:w="0" w:type="dxa"/>
                    <w:right w:w="0" w:type="dxa"/>
                  </w:tcMar>
                  <w:vAlign w:val="center"/>
                </w:tcPr>
                <w:p w14:paraId="27C398DC">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1900</w:t>
                  </w:r>
                </w:p>
              </w:tc>
            </w:tr>
            <w:tr w14:paraId="1FDDE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tcBorders>
                    <w:tl2br w:val="nil"/>
                    <w:tr2bl w:val="nil"/>
                  </w:tcBorders>
                  <w:noWrap w:val="0"/>
                  <w:tcMar>
                    <w:top w:w="0" w:type="dxa"/>
                    <w:left w:w="0" w:type="dxa"/>
                    <w:bottom w:w="0" w:type="dxa"/>
                    <w:right w:w="0" w:type="dxa"/>
                  </w:tcMar>
                  <w:vAlign w:val="center"/>
                </w:tcPr>
                <w:p w14:paraId="094B041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2742" w:type="pct"/>
                  <w:gridSpan w:val="4"/>
                  <w:tcBorders>
                    <w:tl2br w:val="nil"/>
                    <w:tr2bl w:val="nil"/>
                  </w:tcBorders>
                  <w:noWrap w:val="0"/>
                  <w:tcMar>
                    <w:top w:w="0" w:type="dxa"/>
                    <w:left w:w="0" w:type="dxa"/>
                    <w:bottom w:w="0" w:type="dxa"/>
                    <w:right w:w="0" w:type="dxa"/>
                  </w:tcMar>
                  <w:vAlign w:val="center"/>
                </w:tcPr>
                <w:p w14:paraId="42D93ABF">
                  <w:pPr>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本项目50米范围内</w:t>
                  </w:r>
                </w:p>
              </w:tc>
              <w:tc>
                <w:tcPr>
                  <w:tcW w:w="1905" w:type="pct"/>
                  <w:gridSpan w:val="3"/>
                  <w:tcBorders>
                    <w:tl2br w:val="nil"/>
                    <w:tr2bl w:val="nil"/>
                  </w:tcBorders>
                  <w:noWrap w:val="0"/>
                  <w:tcMar>
                    <w:top w:w="0" w:type="dxa"/>
                    <w:left w:w="0" w:type="dxa"/>
                    <w:bottom w:w="0" w:type="dxa"/>
                    <w:right w:w="0" w:type="dxa"/>
                  </w:tcMar>
                  <w:vAlign w:val="center"/>
                </w:tcPr>
                <w:p w14:paraId="5D4A6BB4">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Cs/>
                      <w:color w:val="auto"/>
                      <w:sz w:val="21"/>
                      <w:szCs w:val="21"/>
                    </w:rPr>
                    <w:t>厂界外50米范围无敏感保护目标</w:t>
                  </w:r>
                </w:p>
              </w:tc>
            </w:tr>
            <w:tr w14:paraId="1EE6E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vMerge w:val="restart"/>
                  <w:tcBorders>
                    <w:tl2br w:val="nil"/>
                    <w:tr2bl w:val="nil"/>
                  </w:tcBorders>
                  <w:noWrap w:val="0"/>
                  <w:tcMar>
                    <w:top w:w="0" w:type="dxa"/>
                    <w:left w:w="0" w:type="dxa"/>
                    <w:bottom w:w="0" w:type="dxa"/>
                    <w:right w:w="0" w:type="dxa"/>
                  </w:tcMar>
                  <w:vAlign w:val="center"/>
                </w:tcPr>
                <w:p w14:paraId="38AC27E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生态环境</w:t>
                  </w:r>
                </w:p>
              </w:tc>
              <w:tc>
                <w:tcPr>
                  <w:tcW w:w="833" w:type="pct"/>
                  <w:tcBorders>
                    <w:tl2br w:val="nil"/>
                    <w:tr2bl w:val="nil"/>
                  </w:tcBorders>
                  <w:noWrap w:val="0"/>
                  <w:tcMar>
                    <w:top w:w="0" w:type="dxa"/>
                    <w:left w:w="0" w:type="dxa"/>
                    <w:bottom w:w="0" w:type="dxa"/>
                    <w:right w:w="0" w:type="dxa"/>
                  </w:tcMar>
                  <w:vAlign w:val="center"/>
                </w:tcPr>
                <w:p w14:paraId="0D3E916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119.579758</w:t>
                  </w:r>
                </w:p>
              </w:tc>
              <w:tc>
                <w:tcPr>
                  <w:tcW w:w="770" w:type="pct"/>
                  <w:tcBorders>
                    <w:tl2br w:val="nil"/>
                    <w:tr2bl w:val="nil"/>
                  </w:tcBorders>
                  <w:noWrap w:val="0"/>
                  <w:tcMar>
                    <w:top w:w="0" w:type="dxa"/>
                    <w:left w:w="0" w:type="dxa"/>
                    <w:bottom w:w="0" w:type="dxa"/>
                    <w:right w:w="0" w:type="dxa"/>
                  </w:tcMar>
                  <w:vAlign w:val="center"/>
                </w:tcPr>
                <w:p w14:paraId="16A1F42F">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31.708136</w:t>
                  </w:r>
                </w:p>
              </w:tc>
              <w:tc>
                <w:tcPr>
                  <w:tcW w:w="625" w:type="pct"/>
                  <w:tcBorders>
                    <w:tl2br w:val="nil"/>
                    <w:tr2bl w:val="nil"/>
                  </w:tcBorders>
                  <w:noWrap w:val="0"/>
                  <w:tcMar>
                    <w:top w:w="0" w:type="dxa"/>
                    <w:left w:w="0" w:type="dxa"/>
                    <w:bottom w:w="0" w:type="dxa"/>
                    <w:right w:w="0" w:type="dxa"/>
                  </w:tcMar>
                  <w:vAlign w:val="center"/>
                </w:tcPr>
                <w:p w14:paraId="5F239EAE">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钱资荡重要湿地</w:t>
                  </w:r>
                </w:p>
              </w:tc>
              <w:tc>
                <w:tcPr>
                  <w:tcW w:w="513" w:type="pct"/>
                  <w:tcBorders>
                    <w:tl2br w:val="nil"/>
                    <w:tr2bl w:val="nil"/>
                  </w:tcBorders>
                  <w:noWrap w:val="0"/>
                  <w:tcMar>
                    <w:top w:w="0" w:type="dxa"/>
                    <w:left w:w="0" w:type="dxa"/>
                    <w:bottom w:w="0" w:type="dxa"/>
                    <w:right w:w="0" w:type="dxa"/>
                  </w:tcMar>
                  <w:vAlign w:val="center"/>
                </w:tcPr>
                <w:p w14:paraId="394C6F81">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湿地生态系统保护</w:t>
                  </w:r>
                </w:p>
              </w:tc>
              <w:tc>
                <w:tcPr>
                  <w:tcW w:w="1135" w:type="pct"/>
                  <w:vMerge w:val="restart"/>
                  <w:tcBorders>
                    <w:tl2br w:val="nil"/>
                    <w:tr2bl w:val="nil"/>
                  </w:tcBorders>
                  <w:noWrap w:val="0"/>
                  <w:tcMar>
                    <w:top w:w="0" w:type="dxa"/>
                    <w:left w:w="0" w:type="dxa"/>
                    <w:bottom w:w="0" w:type="dxa"/>
                    <w:right w:w="0" w:type="dxa"/>
                  </w:tcMar>
                  <w:vAlign w:val="center"/>
                </w:tcPr>
                <w:p w14:paraId="4528F36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《江苏省生态空间管控区域规划》</w:t>
                  </w:r>
                </w:p>
              </w:tc>
              <w:tc>
                <w:tcPr>
                  <w:tcW w:w="367" w:type="pct"/>
                  <w:tcBorders>
                    <w:tl2br w:val="nil"/>
                    <w:tr2bl w:val="nil"/>
                  </w:tcBorders>
                  <w:noWrap w:val="0"/>
                  <w:tcMar>
                    <w:top w:w="0" w:type="dxa"/>
                    <w:left w:w="0" w:type="dxa"/>
                    <w:bottom w:w="0" w:type="dxa"/>
                    <w:right w:w="0" w:type="dxa"/>
                  </w:tcMar>
                  <w:vAlign w:val="center"/>
                </w:tcPr>
                <w:p w14:paraId="12DED318">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NW</w:t>
                  </w:r>
                </w:p>
              </w:tc>
              <w:tc>
                <w:tcPr>
                  <w:tcW w:w="402" w:type="pct"/>
                  <w:tcBorders>
                    <w:tl2br w:val="nil"/>
                    <w:tr2bl w:val="nil"/>
                  </w:tcBorders>
                  <w:noWrap w:val="0"/>
                  <w:tcMar>
                    <w:top w:w="0" w:type="dxa"/>
                    <w:left w:w="0" w:type="dxa"/>
                    <w:bottom w:w="0" w:type="dxa"/>
                    <w:right w:w="0" w:type="dxa"/>
                  </w:tcMar>
                  <w:vAlign w:val="center"/>
                </w:tcPr>
                <w:p w14:paraId="0EFFFFCA">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9600</w:t>
                  </w:r>
                </w:p>
              </w:tc>
            </w:tr>
            <w:tr w14:paraId="5F2A7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vMerge w:val="continue"/>
                  <w:tcBorders>
                    <w:tl2br w:val="nil"/>
                    <w:tr2bl w:val="nil"/>
                  </w:tcBorders>
                  <w:noWrap w:val="0"/>
                  <w:tcMar>
                    <w:top w:w="0" w:type="dxa"/>
                    <w:left w:w="0" w:type="dxa"/>
                    <w:bottom w:w="0" w:type="dxa"/>
                    <w:right w:w="0" w:type="dxa"/>
                  </w:tcMar>
                  <w:vAlign w:val="center"/>
                </w:tcPr>
                <w:p w14:paraId="01448D6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3" w:type="pct"/>
                  <w:tcBorders>
                    <w:tl2br w:val="nil"/>
                    <w:tr2bl w:val="nil"/>
                  </w:tcBorders>
                  <w:noWrap w:val="0"/>
                  <w:tcMar>
                    <w:top w:w="0" w:type="dxa"/>
                    <w:left w:w="0" w:type="dxa"/>
                    <w:bottom w:w="0" w:type="dxa"/>
                    <w:right w:w="0" w:type="dxa"/>
                  </w:tcMar>
                  <w:vAlign w:val="center"/>
                </w:tcPr>
                <w:p w14:paraId="2E7E37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119.676752</w:t>
                  </w:r>
                </w:p>
              </w:tc>
              <w:tc>
                <w:tcPr>
                  <w:tcW w:w="770" w:type="pct"/>
                  <w:tcBorders>
                    <w:tl2br w:val="nil"/>
                    <w:tr2bl w:val="nil"/>
                  </w:tcBorders>
                  <w:noWrap w:val="0"/>
                  <w:tcMar>
                    <w:top w:w="0" w:type="dxa"/>
                    <w:left w:w="0" w:type="dxa"/>
                    <w:bottom w:w="0" w:type="dxa"/>
                    <w:right w:w="0" w:type="dxa"/>
                  </w:tcMar>
                  <w:vAlign w:val="center"/>
                </w:tcPr>
                <w:p w14:paraId="2AFDE69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31.625527</w:t>
                  </w:r>
                </w:p>
              </w:tc>
              <w:tc>
                <w:tcPr>
                  <w:tcW w:w="625" w:type="pct"/>
                  <w:tcBorders>
                    <w:tl2br w:val="nil"/>
                    <w:tr2bl w:val="nil"/>
                  </w:tcBorders>
                  <w:noWrap w:val="0"/>
                  <w:tcMar>
                    <w:top w:w="0" w:type="dxa"/>
                    <w:left w:w="0" w:type="dxa"/>
                    <w:bottom w:w="0" w:type="dxa"/>
                    <w:right w:w="0" w:type="dxa"/>
                  </w:tcMar>
                  <w:vAlign w:val="center"/>
                </w:tcPr>
                <w:p w14:paraId="1EBF721F">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新孟河（武进区）清水通道维护区</w:t>
                  </w:r>
                </w:p>
              </w:tc>
              <w:tc>
                <w:tcPr>
                  <w:tcW w:w="513" w:type="pct"/>
                  <w:tcBorders>
                    <w:tl2br w:val="nil"/>
                    <w:tr2bl w:val="nil"/>
                  </w:tcBorders>
                  <w:noWrap w:val="0"/>
                  <w:tcMar>
                    <w:top w:w="0" w:type="dxa"/>
                    <w:left w:w="0" w:type="dxa"/>
                    <w:bottom w:w="0" w:type="dxa"/>
                    <w:right w:w="0" w:type="dxa"/>
                  </w:tcMar>
                  <w:vAlign w:val="center"/>
                </w:tcPr>
                <w:p w14:paraId="12A93C81">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eastAsia" w:ascii="Times New Roman" w:hAnsi="Times New Roman" w:eastAsia="宋体" w:cs="Times New Roman"/>
                      <w:b w:val="0"/>
                      <w:bCs w:val="0"/>
                      <w:color w:val="auto"/>
                      <w:kern w:val="2"/>
                      <w:sz w:val="21"/>
                      <w:szCs w:val="21"/>
                      <w:lang w:val="en-US" w:eastAsia="zh-CN"/>
                    </w:rPr>
                    <w:t>水源水质保护</w:t>
                  </w:r>
                </w:p>
              </w:tc>
              <w:tc>
                <w:tcPr>
                  <w:tcW w:w="1135" w:type="pct"/>
                  <w:vMerge w:val="continue"/>
                  <w:tcBorders>
                    <w:tl2br w:val="nil"/>
                    <w:tr2bl w:val="nil"/>
                  </w:tcBorders>
                  <w:noWrap w:val="0"/>
                  <w:tcMar>
                    <w:top w:w="0" w:type="dxa"/>
                    <w:left w:w="0" w:type="dxa"/>
                    <w:bottom w:w="0" w:type="dxa"/>
                    <w:right w:w="0" w:type="dxa"/>
                  </w:tcMar>
                  <w:vAlign w:val="center"/>
                </w:tcPr>
                <w:p w14:paraId="4711B803">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367" w:type="pct"/>
                  <w:tcBorders>
                    <w:tl2br w:val="nil"/>
                    <w:tr2bl w:val="nil"/>
                  </w:tcBorders>
                  <w:noWrap w:val="0"/>
                  <w:tcMar>
                    <w:top w:w="0" w:type="dxa"/>
                    <w:left w:w="0" w:type="dxa"/>
                    <w:bottom w:w="0" w:type="dxa"/>
                    <w:right w:w="0" w:type="dxa"/>
                  </w:tcMar>
                  <w:vAlign w:val="center"/>
                </w:tcPr>
                <w:p w14:paraId="3EC91DD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w:t>
                  </w:r>
                </w:p>
              </w:tc>
              <w:tc>
                <w:tcPr>
                  <w:tcW w:w="402" w:type="pct"/>
                  <w:tcBorders>
                    <w:tl2br w:val="nil"/>
                    <w:tr2bl w:val="nil"/>
                  </w:tcBorders>
                  <w:noWrap w:val="0"/>
                  <w:tcMar>
                    <w:top w:w="0" w:type="dxa"/>
                    <w:left w:w="0" w:type="dxa"/>
                    <w:bottom w:w="0" w:type="dxa"/>
                    <w:right w:w="0" w:type="dxa"/>
                  </w:tcMar>
                  <w:vAlign w:val="center"/>
                </w:tcPr>
                <w:p w14:paraId="09BEEF0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910</w:t>
                  </w:r>
                </w:p>
              </w:tc>
            </w:tr>
            <w:tr w14:paraId="63D16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vMerge w:val="continue"/>
                  <w:tcBorders>
                    <w:tl2br w:val="nil"/>
                    <w:tr2bl w:val="nil"/>
                  </w:tcBorders>
                  <w:noWrap w:val="0"/>
                  <w:tcMar>
                    <w:top w:w="0" w:type="dxa"/>
                    <w:left w:w="0" w:type="dxa"/>
                    <w:bottom w:w="0" w:type="dxa"/>
                    <w:right w:w="0" w:type="dxa"/>
                  </w:tcMar>
                  <w:vAlign w:val="center"/>
                </w:tcPr>
                <w:p w14:paraId="745E849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3" w:type="pct"/>
                  <w:tcBorders>
                    <w:tl2br w:val="nil"/>
                    <w:tr2bl w:val="nil"/>
                  </w:tcBorders>
                  <w:noWrap w:val="0"/>
                  <w:tcMar>
                    <w:top w:w="0" w:type="dxa"/>
                    <w:left w:w="0" w:type="dxa"/>
                    <w:bottom w:w="0" w:type="dxa"/>
                    <w:right w:w="0" w:type="dxa"/>
                  </w:tcMar>
                  <w:vAlign w:val="center"/>
                </w:tcPr>
                <w:p w14:paraId="3628909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119.527473</w:t>
                  </w:r>
                </w:p>
              </w:tc>
              <w:tc>
                <w:tcPr>
                  <w:tcW w:w="770" w:type="pct"/>
                  <w:tcBorders>
                    <w:tl2br w:val="nil"/>
                    <w:tr2bl w:val="nil"/>
                  </w:tcBorders>
                  <w:noWrap w:val="0"/>
                  <w:tcMar>
                    <w:top w:w="0" w:type="dxa"/>
                    <w:left w:w="0" w:type="dxa"/>
                    <w:bottom w:w="0" w:type="dxa"/>
                    <w:right w:w="0" w:type="dxa"/>
                  </w:tcMar>
                  <w:vAlign w:val="center"/>
                </w:tcPr>
                <w:p w14:paraId="182510B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31.791462</w:t>
                  </w:r>
                </w:p>
              </w:tc>
              <w:tc>
                <w:tcPr>
                  <w:tcW w:w="625" w:type="pct"/>
                  <w:tcBorders>
                    <w:tl2br w:val="nil"/>
                    <w:tr2bl w:val="nil"/>
                  </w:tcBorders>
                  <w:noWrap w:val="0"/>
                  <w:tcMar>
                    <w:top w:w="0" w:type="dxa"/>
                    <w:left w:w="0" w:type="dxa"/>
                    <w:bottom w:w="0" w:type="dxa"/>
                    <w:right w:w="0" w:type="dxa"/>
                  </w:tcMar>
                  <w:vAlign w:val="center"/>
                </w:tcPr>
                <w:p w14:paraId="2B901FD4">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长荡湖重要渔业水域</w:t>
                  </w:r>
                </w:p>
              </w:tc>
              <w:tc>
                <w:tcPr>
                  <w:tcW w:w="513" w:type="pct"/>
                  <w:tcBorders>
                    <w:tl2br w:val="nil"/>
                    <w:tr2bl w:val="nil"/>
                  </w:tcBorders>
                  <w:noWrap w:val="0"/>
                  <w:tcMar>
                    <w:top w:w="0" w:type="dxa"/>
                    <w:left w:w="0" w:type="dxa"/>
                    <w:bottom w:w="0" w:type="dxa"/>
                    <w:right w:w="0" w:type="dxa"/>
                  </w:tcMar>
                  <w:vAlign w:val="center"/>
                </w:tcPr>
                <w:p w14:paraId="32DC744B">
                  <w:pPr>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渔业资源保护</w:t>
                  </w:r>
                </w:p>
              </w:tc>
              <w:tc>
                <w:tcPr>
                  <w:tcW w:w="1135" w:type="pct"/>
                  <w:vMerge w:val="continue"/>
                  <w:tcBorders>
                    <w:tl2br w:val="nil"/>
                    <w:tr2bl w:val="nil"/>
                  </w:tcBorders>
                  <w:noWrap w:val="0"/>
                  <w:tcMar>
                    <w:top w:w="0" w:type="dxa"/>
                    <w:left w:w="0" w:type="dxa"/>
                    <w:bottom w:w="0" w:type="dxa"/>
                    <w:right w:w="0" w:type="dxa"/>
                  </w:tcMar>
                  <w:vAlign w:val="center"/>
                </w:tcPr>
                <w:p w14:paraId="75FE81D6">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367" w:type="pct"/>
                  <w:tcBorders>
                    <w:tl2br w:val="nil"/>
                    <w:tr2bl w:val="nil"/>
                  </w:tcBorders>
                  <w:noWrap w:val="0"/>
                  <w:tcMar>
                    <w:top w:w="0" w:type="dxa"/>
                    <w:left w:w="0" w:type="dxa"/>
                    <w:bottom w:w="0" w:type="dxa"/>
                    <w:right w:w="0" w:type="dxa"/>
                  </w:tcMar>
                  <w:vAlign w:val="center"/>
                </w:tcPr>
                <w:p w14:paraId="1B3E692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w:t>
                  </w:r>
                </w:p>
              </w:tc>
              <w:tc>
                <w:tcPr>
                  <w:tcW w:w="402" w:type="pct"/>
                  <w:tcBorders>
                    <w:tl2br w:val="nil"/>
                    <w:tr2bl w:val="nil"/>
                  </w:tcBorders>
                  <w:noWrap w:val="0"/>
                  <w:tcMar>
                    <w:top w:w="0" w:type="dxa"/>
                    <w:left w:w="0" w:type="dxa"/>
                    <w:bottom w:w="0" w:type="dxa"/>
                    <w:right w:w="0" w:type="dxa"/>
                  </w:tcMar>
                  <w:vAlign w:val="center"/>
                </w:tcPr>
                <w:p w14:paraId="0C1C39F4">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5000</w:t>
                  </w:r>
                </w:p>
              </w:tc>
            </w:tr>
            <w:tr w14:paraId="7B3496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52" w:type="pct"/>
                  <w:tcBorders>
                    <w:tl2br w:val="nil"/>
                    <w:tr2bl w:val="nil"/>
                  </w:tcBorders>
                  <w:noWrap w:val="0"/>
                  <w:tcMar>
                    <w:top w:w="0" w:type="dxa"/>
                    <w:left w:w="0" w:type="dxa"/>
                    <w:bottom w:w="0" w:type="dxa"/>
                    <w:right w:w="0" w:type="dxa"/>
                  </w:tcMar>
                  <w:vAlign w:val="center"/>
                </w:tcPr>
                <w:p w14:paraId="462FE80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p>
              </w:tc>
              <w:tc>
                <w:tcPr>
                  <w:tcW w:w="2742" w:type="pct"/>
                  <w:gridSpan w:val="4"/>
                  <w:tcBorders>
                    <w:tl2br w:val="nil"/>
                    <w:tr2bl w:val="nil"/>
                  </w:tcBorders>
                  <w:noWrap w:val="0"/>
                  <w:tcMar>
                    <w:top w:w="0" w:type="dxa"/>
                    <w:left w:w="0" w:type="dxa"/>
                    <w:bottom w:w="0" w:type="dxa"/>
                    <w:right w:w="0" w:type="dxa"/>
                  </w:tcMar>
                  <w:vAlign w:val="center"/>
                </w:tcPr>
                <w:p w14:paraId="20D2482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项目所在区域500m范围</w:t>
                  </w:r>
                </w:p>
              </w:tc>
              <w:tc>
                <w:tcPr>
                  <w:tcW w:w="1905" w:type="pct"/>
                  <w:gridSpan w:val="3"/>
                  <w:tcBorders>
                    <w:tl2br w:val="nil"/>
                    <w:tr2bl w:val="nil"/>
                  </w:tcBorders>
                  <w:noWrap w:val="0"/>
                  <w:tcMar>
                    <w:top w:w="0" w:type="dxa"/>
                    <w:left w:w="0" w:type="dxa"/>
                    <w:bottom w:w="0" w:type="dxa"/>
                    <w:right w:w="0" w:type="dxa"/>
                  </w:tcMar>
                  <w:vAlign w:val="center"/>
                </w:tcPr>
                <w:p w14:paraId="6091DC2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本项目厂界外500米范围内无地下水集中式饮用水水源等特殊地下水资源</w:t>
                  </w:r>
                </w:p>
              </w:tc>
            </w:tr>
            <w:tr w14:paraId="3C6DEA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8"/>
                  <w:tcBorders>
                    <w:tl2br w:val="nil"/>
                    <w:tr2bl w:val="nil"/>
                  </w:tcBorders>
                  <w:noWrap w:val="0"/>
                  <w:tcMar>
                    <w:top w:w="0" w:type="dxa"/>
                    <w:left w:w="0" w:type="dxa"/>
                    <w:bottom w:w="0" w:type="dxa"/>
                    <w:right w:w="0" w:type="dxa"/>
                  </w:tcMar>
                  <w:vAlign w:val="center"/>
                </w:tcPr>
                <w:p w14:paraId="178D231A">
                  <w:pPr>
                    <w:pageBreakBefore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注：项目距离国控站点（金坛城区）直线距离约12.8km，距离省控站点（金坛监测站）15.6km，距离最近的国,省控断面（S239省道桥）直线距离约2.0km。</w:t>
                  </w:r>
                </w:p>
              </w:tc>
            </w:tr>
          </w:tbl>
          <w:p w14:paraId="312E8761">
            <w:pPr>
              <w:spacing w:line="240" w:lineRule="auto"/>
              <w:ind w:firstLine="0" w:firstLineChars="0"/>
              <w:rPr>
                <w:rFonts w:hint="default" w:ascii="Times New Roman" w:hAnsi="Times New Roman" w:eastAsia="宋体" w:cs="Times New Roman"/>
                <w:color w:val="auto"/>
                <w:sz w:val="24"/>
                <w:szCs w:val="24"/>
              </w:rPr>
            </w:pPr>
          </w:p>
        </w:tc>
      </w:tr>
      <w:tr w14:paraId="72B0B5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3" w:hRule="atLeast"/>
          <w:jc w:val="center"/>
        </w:trPr>
        <w:tc>
          <w:tcPr>
            <w:tcW w:w="468" w:type="dxa"/>
            <w:noWrap w:val="0"/>
            <w:vAlign w:val="center"/>
          </w:tcPr>
          <w:p w14:paraId="612D8236">
            <w:pPr>
              <w:spacing w:line="240" w:lineRule="auto"/>
              <w:ind w:firstLine="0" w:firstLineChars="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bCs/>
                <w:color w:val="auto"/>
                <w:sz w:val="24"/>
                <w:szCs w:val="24"/>
              </w:rPr>
              <w:t>污染物排放控制标准</w:t>
            </w:r>
          </w:p>
        </w:tc>
        <w:tc>
          <w:tcPr>
            <w:tcW w:w="9501" w:type="dxa"/>
            <w:noWrap w:val="0"/>
            <w:vAlign w:val="center"/>
          </w:tcPr>
          <w:p w14:paraId="2DFD7145">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废气排放标准</w:t>
            </w:r>
          </w:p>
          <w:p w14:paraId="056A76B5">
            <w:pPr>
              <w:ind w:firstLine="422"/>
              <w:rPr>
                <w:rFonts w:hint="default" w:ascii="Times New Roman" w:hAnsi="Times New Roman" w:eastAsia="宋体" w:cs="Times New Roman"/>
                <w:b/>
                <w:bCs/>
                <w:color w:val="auto"/>
                <w:sz w:val="24"/>
                <w:szCs w:val="24"/>
              </w:rPr>
            </w:pPr>
            <w:bookmarkStart w:id="1" w:name="_Hlk119942245"/>
            <w:r>
              <w:rPr>
                <w:rFonts w:hint="default" w:ascii="Times New Roman" w:hAnsi="Times New Roman" w:eastAsia="宋体" w:cs="Times New Roman"/>
                <w:b/>
                <w:bCs/>
                <w:color w:val="auto"/>
                <w:sz w:val="24"/>
                <w:szCs w:val="24"/>
              </w:rPr>
              <w:t>（1）有组织废气</w:t>
            </w:r>
          </w:p>
          <w:p w14:paraId="36B68639">
            <w:pPr>
              <w:ind w:firstLine="420"/>
              <w:rPr>
                <w:rFonts w:hint="default" w:ascii="Times New Roman" w:hAnsi="Times New Roman" w:eastAsia="宋体" w:cs="Times New Roman"/>
                <w:color w:val="auto"/>
                <w:sz w:val="24"/>
                <w:szCs w:val="24"/>
                <w:lang w:val="en-US" w:eastAsia="zh-CN"/>
              </w:rPr>
            </w:pPr>
            <w:bookmarkStart w:id="2" w:name="_Hlk130047848"/>
            <w:r>
              <w:rPr>
                <w:rFonts w:hint="default" w:ascii="Times New Roman" w:hAnsi="Times New Roman" w:eastAsia="宋体" w:cs="Times New Roman"/>
                <w:color w:val="auto"/>
                <w:sz w:val="24"/>
                <w:szCs w:val="24"/>
                <w:lang w:val="en-US" w:eastAsia="zh-CN"/>
              </w:rPr>
              <w:t>本项目投料工段产生的颗粒物有组织排放执行</w:t>
            </w:r>
            <w:r>
              <w:rPr>
                <w:rFonts w:hint="default" w:ascii="Times New Roman" w:hAnsi="Times New Roman" w:eastAsia="宋体" w:cs="Times New Roman"/>
                <w:color w:val="auto"/>
                <w:sz w:val="24"/>
                <w:lang w:val="en-US" w:eastAsia="zh-CN"/>
              </w:rPr>
              <w:t>《</w:t>
            </w:r>
            <w:bookmarkStart w:id="3" w:name="OLE_LINK1"/>
            <w:r>
              <w:rPr>
                <w:rFonts w:hint="default" w:ascii="Times New Roman" w:hAnsi="Times New Roman" w:eastAsia="宋体" w:cs="Times New Roman"/>
                <w:color w:val="auto"/>
                <w:sz w:val="24"/>
                <w:lang w:val="en-US" w:eastAsia="zh-CN"/>
              </w:rPr>
              <w:t>大气污染物综合排放标准</w:t>
            </w:r>
            <w:bookmarkEnd w:id="3"/>
            <w:r>
              <w:rPr>
                <w:rFonts w:hint="default" w:ascii="Times New Roman" w:hAnsi="Times New Roman" w:eastAsia="宋体" w:cs="Times New Roman"/>
                <w:color w:val="auto"/>
                <w:sz w:val="24"/>
                <w:lang w:val="en-US" w:eastAsia="zh-CN"/>
              </w:rPr>
              <w:t>》（DB32/4041-2021）表1</w:t>
            </w:r>
            <w:r>
              <w:rPr>
                <w:rFonts w:hint="default" w:ascii="Times New Roman" w:hAnsi="Times New Roman" w:eastAsia="宋体" w:cs="Times New Roman"/>
                <w:color w:val="auto"/>
                <w:sz w:val="24"/>
                <w:szCs w:val="24"/>
                <w:lang w:val="en-US" w:eastAsia="zh-CN"/>
              </w:rPr>
              <w:t>标准限值；挤出工段产生的非甲烷总烃、氯乙烯、氯化氢有组织排放执行《大气污染物综合排放标准》（DB32/4041-2021）中表1标准限值。</w:t>
            </w:r>
          </w:p>
          <w:p w14:paraId="1A0D76A0">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（2）无组织废气</w:t>
            </w:r>
          </w:p>
          <w:p w14:paraId="094F37C2">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项目厂界颗粒物、非甲烷总烃</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氯乙烯、氯化氢</w:t>
            </w:r>
            <w:r>
              <w:rPr>
                <w:rFonts w:hint="default" w:ascii="Times New Roman" w:hAnsi="Times New Roman" w:eastAsia="宋体" w:cs="Times New Roman"/>
                <w:color w:val="auto"/>
                <w:sz w:val="24"/>
                <w:szCs w:val="24"/>
              </w:rPr>
              <w:t>执行《大气污染物综合排放标准》（DB32/4041-2021）表3排放限值。厂区内厂房外非甲烷总烃无组织排放监控点浓度执行《大气污染物综合排放标准》（DB32/4041-2021）表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排放限值。</w:t>
            </w:r>
          </w:p>
          <w:bookmarkEnd w:id="2"/>
          <w:p w14:paraId="3EB2E51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8</w:t>
            </w:r>
            <w:r>
              <w:rPr>
                <w:rFonts w:hint="default" w:ascii="Times New Roman" w:hAnsi="Times New Roman" w:eastAsia="宋体" w:cs="Times New Roman"/>
                <w:b/>
                <w:bCs/>
                <w:color w:val="auto"/>
                <w:sz w:val="21"/>
                <w:szCs w:val="21"/>
              </w:rPr>
              <w:t xml:space="preserve">  有组织废气排放标准</w:t>
            </w:r>
          </w:p>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1441"/>
              <w:gridCol w:w="2068"/>
              <w:gridCol w:w="1797"/>
              <w:gridCol w:w="2532"/>
            </w:tblGrid>
            <w:tr w14:paraId="6AB3F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tcBorders>
                    <w:tl2br w:val="nil"/>
                    <w:tr2bl w:val="nil"/>
                  </w:tcBorders>
                  <w:noWrap w:val="0"/>
                  <w:vAlign w:val="center"/>
                </w:tcPr>
                <w:p w14:paraId="5CC2D31C">
                  <w:pPr>
                    <w:pStyle w:val="13"/>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污染源</w:t>
                  </w:r>
                </w:p>
              </w:tc>
              <w:tc>
                <w:tcPr>
                  <w:tcW w:w="776" w:type="pct"/>
                  <w:tcBorders>
                    <w:tl2br w:val="nil"/>
                    <w:tr2bl w:val="nil"/>
                  </w:tcBorders>
                  <w:noWrap w:val="0"/>
                  <w:vAlign w:val="center"/>
                </w:tcPr>
                <w:p w14:paraId="6511B7B5">
                  <w:pPr>
                    <w:pStyle w:val="13"/>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p>
              </w:tc>
              <w:tc>
                <w:tcPr>
                  <w:tcW w:w="1114" w:type="pct"/>
                  <w:tcBorders>
                    <w:tl2br w:val="nil"/>
                    <w:tr2bl w:val="nil"/>
                  </w:tcBorders>
                  <w:noWrap w:val="0"/>
                  <w:vAlign w:val="center"/>
                </w:tcPr>
                <w:p w14:paraId="6F0367E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kern w:val="2"/>
                      <w:sz w:val="21"/>
                      <w:szCs w:val="21"/>
                    </w:rPr>
                    <w:t>最高允许排放浓度</w:t>
                  </w:r>
                  <w:r>
                    <w:rPr>
                      <w:rFonts w:hint="default" w:ascii="Times New Roman" w:hAnsi="Times New Roman" w:eastAsia="宋体" w:cs="Times New Roman"/>
                      <w:b/>
                      <w:bCs/>
                      <w:color w:val="auto"/>
                      <w:kern w:val="2"/>
                      <w:sz w:val="21"/>
                      <w:szCs w:val="21"/>
                      <w:lang w:eastAsia="zh-CN"/>
                    </w:rPr>
                    <w:t>（</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kern w:val="2"/>
                      <w:sz w:val="21"/>
                      <w:szCs w:val="21"/>
                      <w:lang w:eastAsia="zh-CN"/>
                    </w:rPr>
                    <w:t>）</w:t>
                  </w:r>
                </w:p>
              </w:tc>
              <w:tc>
                <w:tcPr>
                  <w:tcW w:w="968" w:type="pct"/>
                  <w:tcBorders>
                    <w:tl2br w:val="nil"/>
                    <w:tr2bl w:val="nil"/>
                  </w:tcBorders>
                  <w:noWrap w:val="0"/>
                  <w:vAlign w:val="center"/>
                </w:tcPr>
                <w:p w14:paraId="599890C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最高允许排放速率kg/h</w:t>
                  </w:r>
                </w:p>
              </w:tc>
              <w:tc>
                <w:tcPr>
                  <w:tcW w:w="1364" w:type="pct"/>
                  <w:tcBorders>
                    <w:tl2br w:val="nil"/>
                    <w:tr2bl w:val="nil"/>
                  </w:tcBorders>
                  <w:noWrap w:val="0"/>
                  <w:vAlign w:val="center"/>
                </w:tcPr>
                <w:p w14:paraId="099D48E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标准</w:t>
                  </w:r>
                </w:p>
              </w:tc>
            </w:tr>
            <w:tr w14:paraId="17B4D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776" w:type="pct"/>
                  <w:vMerge w:val="restart"/>
                  <w:tcBorders>
                    <w:tl2br w:val="nil"/>
                    <w:tr2bl w:val="nil"/>
                  </w:tcBorders>
                  <w:noWrap w:val="0"/>
                  <w:vAlign w:val="center"/>
                </w:tcPr>
                <w:p w14:paraId="0649AB74">
                  <w:pPr>
                    <w:pStyle w:val="388"/>
                    <w:keepNext w:val="0"/>
                    <w:keepLines w:val="0"/>
                    <w:pageBreakBefore w:val="0"/>
                    <w:widowControl w:val="0"/>
                    <w:kinsoku/>
                    <w:wordWrap/>
                    <w:overflowPunct/>
                    <w:topLinePunct w:val="0"/>
                    <w:autoSpaceDE/>
                    <w:autoSpaceDN/>
                    <w:bidi w:val="0"/>
                    <w:adjustRightInd w:val="0"/>
                    <w:snapToGrid/>
                    <w:spacing w:before="0" w:line="240" w:lineRule="auto"/>
                    <w:ind w:firstLine="0" w:firstLineChars="0"/>
                    <w:jc w:val="center"/>
                    <w:textAlignment w:val="auto"/>
                    <w:rPr>
                      <w:rFonts w:hint="default" w:ascii="Times New Roman" w:hAnsi="Times New Roman" w:eastAsia="宋体" w:cs="Times New Roman"/>
                      <w:color w:val="auto"/>
                      <w:kern w:val="2"/>
                      <w:sz w:val="21"/>
                      <w:szCs w:val="21"/>
                      <w:u w:val="none"/>
                      <w:shd w:val="clear" w:color="auto" w:fill="auto"/>
                      <w:lang w:val="en-US" w:eastAsia="zh-CN" w:bidi="ar-SA"/>
                    </w:rPr>
                  </w:pPr>
                  <w:r>
                    <w:rPr>
                      <w:rFonts w:hint="default" w:ascii="Times New Roman" w:hAnsi="Times New Roman" w:eastAsia="宋体" w:cs="Times New Roman"/>
                      <w:color w:val="auto"/>
                      <w:kern w:val="2"/>
                      <w:sz w:val="21"/>
                      <w:szCs w:val="21"/>
                      <w:u w:val="none"/>
                      <w:shd w:val="clear" w:color="auto" w:fill="auto"/>
                      <w:lang w:val="en-US" w:eastAsia="zh-CN" w:bidi="ar-SA"/>
                    </w:rPr>
                    <w:t>DA001</w:t>
                  </w:r>
                </w:p>
              </w:tc>
              <w:tc>
                <w:tcPr>
                  <w:tcW w:w="776" w:type="pct"/>
                  <w:tcBorders>
                    <w:tl2br w:val="nil"/>
                    <w:tr2bl w:val="nil"/>
                  </w:tcBorders>
                  <w:shd w:val="clear" w:color="auto" w:fill="auto"/>
                  <w:noWrap w:val="0"/>
                  <w:vAlign w:val="center"/>
                </w:tcPr>
                <w:p w14:paraId="08AC79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1114" w:type="pct"/>
                  <w:tcBorders>
                    <w:tl2br w:val="nil"/>
                    <w:tr2bl w:val="nil"/>
                  </w:tcBorders>
                  <w:shd w:val="clear" w:color="auto" w:fill="auto"/>
                  <w:noWrap w:val="0"/>
                  <w:vAlign w:val="center"/>
                </w:tcPr>
                <w:p w14:paraId="48A0F0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eastAsia" w:cs="Times New Roman"/>
                      <w:color w:val="auto"/>
                      <w:spacing w:val="0"/>
                      <w:kern w:val="0"/>
                      <w:sz w:val="21"/>
                      <w:szCs w:val="21"/>
                      <w:lang w:val="en-US" w:eastAsia="zh-CN"/>
                    </w:rPr>
                    <w:t>15</w:t>
                  </w:r>
                </w:p>
              </w:tc>
              <w:tc>
                <w:tcPr>
                  <w:tcW w:w="968" w:type="pct"/>
                  <w:tcBorders>
                    <w:tl2br w:val="nil"/>
                    <w:tr2bl w:val="nil"/>
                  </w:tcBorders>
                  <w:shd w:val="clear" w:color="auto" w:fill="auto"/>
                  <w:noWrap w:val="0"/>
                  <w:vAlign w:val="center"/>
                </w:tcPr>
                <w:p w14:paraId="07D23A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eastAsia" w:cs="Times New Roman"/>
                      <w:color w:val="auto"/>
                      <w:spacing w:val="0"/>
                      <w:kern w:val="0"/>
                      <w:sz w:val="21"/>
                      <w:szCs w:val="21"/>
                      <w:lang w:val="en-US" w:eastAsia="zh-CN"/>
                    </w:rPr>
                    <w:t>0.51</w:t>
                  </w:r>
                </w:p>
              </w:tc>
              <w:tc>
                <w:tcPr>
                  <w:tcW w:w="1364" w:type="pct"/>
                  <w:vMerge w:val="restart"/>
                  <w:tcBorders>
                    <w:tl2br w:val="nil"/>
                    <w:tr2bl w:val="nil"/>
                  </w:tcBorders>
                  <w:noWrap w:val="0"/>
                  <w:vAlign w:val="center"/>
                </w:tcPr>
                <w:p w14:paraId="5660F6D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《大气污染物综合排放标准》（DB32/4041-2021）</w:t>
                  </w:r>
                </w:p>
              </w:tc>
            </w:tr>
            <w:tr w14:paraId="31BB1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vMerge w:val="continue"/>
                  <w:tcBorders>
                    <w:tl2br w:val="nil"/>
                    <w:tr2bl w:val="nil"/>
                  </w:tcBorders>
                  <w:noWrap w:val="0"/>
                  <w:vAlign w:val="center"/>
                </w:tcPr>
                <w:p w14:paraId="501C6180">
                  <w:pPr>
                    <w:pStyle w:val="388"/>
                    <w:keepNext w:val="0"/>
                    <w:keepLines w:val="0"/>
                    <w:pageBreakBefore w:val="0"/>
                    <w:widowControl w:val="0"/>
                    <w:kinsoku/>
                    <w:wordWrap/>
                    <w:overflowPunct/>
                    <w:topLinePunct w:val="0"/>
                    <w:autoSpaceDE/>
                    <w:autoSpaceDN/>
                    <w:bidi w:val="0"/>
                    <w:adjustRightInd w:val="0"/>
                    <w:snapToGrid/>
                    <w:spacing w:before="0" w:line="240" w:lineRule="auto"/>
                    <w:ind w:firstLine="0" w:firstLineChars="0"/>
                    <w:jc w:val="center"/>
                    <w:textAlignment w:val="auto"/>
                    <w:rPr>
                      <w:rFonts w:hint="default" w:ascii="Times New Roman" w:hAnsi="Times New Roman" w:eastAsia="宋体" w:cs="Times New Roman"/>
                      <w:color w:val="auto"/>
                      <w:kern w:val="2"/>
                      <w:sz w:val="21"/>
                      <w:szCs w:val="21"/>
                      <w:u w:val="none"/>
                      <w:shd w:val="clear" w:color="auto" w:fill="auto"/>
                      <w:lang w:val="en-US" w:eastAsia="zh-CN" w:bidi="ar-SA"/>
                    </w:rPr>
                  </w:pPr>
                </w:p>
              </w:tc>
              <w:tc>
                <w:tcPr>
                  <w:tcW w:w="776" w:type="pct"/>
                  <w:tcBorders>
                    <w:tl2br w:val="nil"/>
                    <w:tr2bl w:val="nil"/>
                  </w:tcBorders>
                  <w:shd w:val="clear" w:color="auto" w:fill="auto"/>
                  <w:noWrap w:val="0"/>
                  <w:vAlign w:val="center"/>
                </w:tcPr>
                <w:p w14:paraId="198FAE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1114" w:type="pct"/>
                  <w:tcBorders>
                    <w:tl2br w:val="nil"/>
                    <w:tr2bl w:val="nil"/>
                  </w:tcBorders>
                  <w:shd w:val="clear" w:color="auto" w:fill="auto"/>
                  <w:noWrap w:val="0"/>
                  <w:vAlign w:val="center"/>
                </w:tcPr>
                <w:p w14:paraId="5DCC17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60</w:t>
                  </w:r>
                </w:p>
              </w:tc>
              <w:tc>
                <w:tcPr>
                  <w:tcW w:w="968" w:type="pct"/>
                  <w:tcBorders>
                    <w:tl2br w:val="nil"/>
                    <w:tr2bl w:val="nil"/>
                  </w:tcBorders>
                  <w:shd w:val="clear" w:color="auto" w:fill="auto"/>
                  <w:noWrap w:val="0"/>
                  <w:vAlign w:val="center"/>
                </w:tcPr>
                <w:p w14:paraId="7C803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3</w:t>
                  </w:r>
                </w:p>
              </w:tc>
              <w:tc>
                <w:tcPr>
                  <w:tcW w:w="1364" w:type="pct"/>
                  <w:vMerge w:val="continue"/>
                  <w:tcBorders>
                    <w:tl2br w:val="nil"/>
                    <w:tr2bl w:val="nil"/>
                  </w:tcBorders>
                  <w:noWrap w:val="0"/>
                  <w:vAlign w:val="center"/>
                </w:tcPr>
                <w:p w14:paraId="11F398F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r w14:paraId="3BCAB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vMerge w:val="continue"/>
                  <w:tcBorders>
                    <w:tl2br w:val="nil"/>
                    <w:tr2bl w:val="nil"/>
                  </w:tcBorders>
                  <w:noWrap w:val="0"/>
                  <w:vAlign w:val="center"/>
                </w:tcPr>
                <w:p w14:paraId="6C9ECF15">
                  <w:pPr>
                    <w:pStyle w:val="388"/>
                    <w:keepNext w:val="0"/>
                    <w:keepLines w:val="0"/>
                    <w:pageBreakBefore w:val="0"/>
                    <w:widowControl w:val="0"/>
                    <w:kinsoku/>
                    <w:wordWrap/>
                    <w:overflowPunct/>
                    <w:topLinePunct w:val="0"/>
                    <w:autoSpaceDE/>
                    <w:autoSpaceDN/>
                    <w:bidi w:val="0"/>
                    <w:adjustRightInd w:val="0"/>
                    <w:snapToGrid/>
                    <w:spacing w:before="0" w:line="240" w:lineRule="auto"/>
                    <w:ind w:firstLine="0" w:firstLineChars="0"/>
                    <w:jc w:val="center"/>
                    <w:textAlignment w:val="auto"/>
                    <w:rPr>
                      <w:rFonts w:hint="default" w:ascii="Times New Roman" w:hAnsi="Times New Roman" w:eastAsia="宋体" w:cs="Times New Roman"/>
                      <w:color w:val="auto"/>
                      <w:kern w:val="2"/>
                      <w:sz w:val="21"/>
                      <w:szCs w:val="21"/>
                      <w:u w:val="none"/>
                      <w:shd w:val="clear" w:color="auto" w:fill="auto"/>
                      <w:lang w:val="en-US" w:eastAsia="zh-CN" w:bidi="ar-SA"/>
                    </w:rPr>
                  </w:pPr>
                </w:p>
              </w:tc>
              <w:tc>
                <w:tcPr>
                  <w:tcW w:w="776" w:type="pct"/>
                  <w:tcBorders>
                    <w:tl2br w:val="nil"/>
                    <w:tr2bl w:val="nil"/>
                  </w:tcBorders>
                  <w:shd w:val="clear" w:color="auto" w:fill="auto"/>
                  <w:noWrap w:val="0"/>
                  <w:vAlign w:val="center"/>
                </w:tcPr>
                <w:p w14:paraId="75E140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1114" w:type="pct"/>
                  <w:tcBorders>
                    <w:tl2br w:val="nil"/>
                    <w:tr2bl w:val="nil"/>
                  </w:tcBorders>
                  <w:shd w:val="clear" w:color="auto" w:fill="auto"/>
                  <w:noWrap w:val="0"/>
                  <w:vAlign w:val="center"/>
                </w:tcPr>
                <w:p w14:paraId="1545FB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5</w:t>
                  </w:r>
                </w:p>
              </w:tc>
              <w:tc>
                <w:tcPr>
                  <w:tcW w:w="968" w:type="pct"/>
                  <w:tcBorders>
                    <w:tl2br w:val="nil"/>
                    <w:tr2bl w:val="nil"/>
                  </w:tcBorders>
                  <w:shd w:val="clear" w:color="auto" w:fill="auto"/>
                  <w:noWrap w:val="0"/>
                  <w:vAlign w:val="center"/>
                </w:tcPr>
                <w:p w14:paraId="0EA3A2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0.54</w:t>
                  </w:r>
                </w:p>
              </w:tc>
              <w:tc>
                <w:tcPr>
                  <w:tcW w:w="1364" w:type="pct"/>
                  <w:vMerge w:val="continue"/>
                  <w:tcBorders>
                    <w:tl2br w:val="nil"/>
                    <w:tr2bl w:val="nil"/>
                  </w:tcBorders>
                  <w:noWrap w:val="0"/>
                  <w:vAlign w:val="center"/>
                </w:tcPr>
                <w:p w14:paraId="47AB7CB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r w14:paraId="54A7D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vMerge w:val="continue"/>
                  <w:tcBorders>
                    <w:tl2br w:val="nil"/>
                    <w:tr2bl w:val="nil"/>
                  </w:tcBorders>
                  <w:noWrap w:val="0"/>
                  <w:vAlign w:val="center"/>
                </w:tcPr>
                <w:p w14:paraId="65C4A8DE">
                  <w:pPr>
                    <w:pStyle w:val="388"/>
                    <w:keepNext w:val="0"/>
                    <w:keepLines w:val="0"/>
                    <w:pageBreakBefore w:val="0"/>
                    <w:widowControl w:val="0"/>
                    <w:kinsoku/>
                    <w:wordWrap/>
                    <w:overflowPunct/>
                    <w:topLinePunct w:val="0"/>
                    <w:autoSpaceDE/>
                    <w:autoSpaceDN/>
                    <w:bidi w:val="0"/>
                    <w:adjustRightInd w:val="0"/>
                    <w:snapToGrid/>
                    <w:spacing w:before="0" w:line="240" w:lineRule="auto"/>
                    <w:ind w:firstLine="0" w:firstLineChars="0"/>
                    <w:jc w:val="center"/>
                    <w:textAlignment w:val="auto"/>
                    <w:rPr>
                      <w:rFonts w:hint="default" w:ascii="Times New Roman" w:hAnsi="Times New Roman" w:eastAsia="宋体" w:cs="Times New Roman"/>
                      <w:color w:val="auto"/>
                      <w:kern w:val="2"/>
                      <w:sz w:val="21"/>
                      <w:szCs w:val="21"/>
                      <w:u w:val="none"/>
                      <w:shd w:val="clear" w:color="auto" w:fill="auto"/>
                      <w:lang w:val="en-US" w:eastAsia="zh-CN" w:bidi="ar-SA"/>
                    </w:rPr>
                  </w:pPr>
                </w:p>
              </w:tc>
              <w:tc>
                <w:tcPr>
                  <w:tcW w:w="776" w:type="pct"/>
                  <w:tcBorders>
                    <w:tl2br w:val="nil"/>
                    <w:tr2bl w:val="nil"/>
                  </w:tcBorders>
                  <w:shd w:val="clear" w:color="auto" w:fill="auto"/>
                  <w:noWrap w:val="0"/>
                  <w:vAlign w:val="center"/>
                </w:tcPr>
                <w:p w14:paraId="30C31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1114" w:type="pct"/>
                  <w:tcBorders>
                    <w:tl2br w:val="nil"/>
                    <w:tr2bl w:val="nil"/>
                  </w:tcBorders>
                  <w:shd w:val="clear" w:color="auto" w:fill="auto"/>
                  <w:noWrap w:val="0"/>
                  <w:vAlign w:val="center"/>
                </w:tcPr>
                <w:p w14:paraId="6D767F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10</w:t>
                  </w:r>
                </w:p>
              </w:tc>
              <w:tc>
                <w:tcPr>
                  <w:tcW w:w="968" w:type="pct"/>
                  <w:tcBorders>
                    <w:tl2br w:val="nil"/>
                    <w:tr2bl w:val="nil"/>
                  </w:tcBorders>
                  <w:shd w:val="clear" w:color="auto" w:fill="auto"/>
                  <w:noWrap w:val="0"/>
                  <w:vAlign w:val="center"/>
                </w:tcPr>
                <w:p w14:paraId="2C032E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0.18</w:t>
                  </w:r>
                </w:p>
              </w:tc>
              <w:tc>
                <w:tcPr>
                  <w:tcW w:w="1364" w:type="pct"/>
                  <w:vMerge w:val="continue"/>
                  <w:tcBorders>
                    <w:tl2br w:val="nil"/>
                    <w:tr2bl w:val="nil"/>
                  </w:tcBorders>
                  <w:noWrap w:val="0"/>
                  <w:vAlign w:val="center"/>
                </w:tcPr>
                <w:p w14:paraId="67511905">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bl>
          <w:p w14:paraId="03FA1BB7">
            <w:pPr>
              <w:spacing w:line="240" w:lineRule="auto"/>
              <w:ind w:firstLine="0" w:firstLineChars="0"/>
              <w:jc w:val="left"/>
              <w:rPr>
                <w:rFonts w:hint="eastAsia"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注：本项目排放的颗粒物包含投料色母时产生的粉尘，</w:t>
            </w:r>
            <w:r>
              <w:rPr>
                <w:rFonts w:hint="eastAsia"/>
                <w:color w:val="auto"/>
              </w:rPr>
              <w:t>根据色母的成分特性，将其定性为染料尘，并据此从严执行《大气污染物综合排放标准》（DB32/4041-2021）中染料尘的排放限值</w:t>
            </w:r>
            <w:r>
              <w:rPr>
                <w:rFonts w:hint="eastAsia"/>
                <w:color w:val="auto"/>
                <w:lang w:eastAsia="zh-CN"/>
              </w:rPr>
              <w:t>。</w:t>
            </w:r>
          </w:p>
          <w:p w14:paraId="1FAFB65E">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9</w:t>
            </w:r>
            <w:r>
              <w:rPr>
                <w:rFonts w:hint="default" w:ascii="Times New Roman" w:hAnsi="Times New Roman" w:eastAsia="宋体" w:cs="Times New Roman"/>
                <w:b/>
                <w:bCs/>
                <w:color w:val="auto"/>
                <w:sz w:val="21"/>
                <w:szCs w:val="21"/>
              </w:rPr>
              <w:t xml:space="preserve">  无组织废气排放标准</w:t>
            </w:r>
          </w:p>
          <w:bookmarkEnd w:id="1"/>
          <w:tbl>
            <w:tblPr>
              <w:tblStyle w:val="4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280"/>
              <w:gridCol w:w="2725"/>
              <w:gridCol w:w="2725"/>
            </w:tblGrid>
            <w:tr w14:paraId="7BC1A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834" w:type="pct"/>
                  <w:tcBorders>
                    <w:tl2br w:val="nil"/>
                    <w:tr2bl w:val="nil"/>
                  </w:tcBorders>
                  <w:noWrap w:val="0"/>
                  <w:vAlign w:val="center"/>
                </w:tcPr>
                <w:p w14:paraId="72403592">
                  <w:pPr>
                    <w:pStyle w:val="13"/>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p>
              </w:tc>
              <w:tc>
                <w:tcPr>
                  <w:tcW w:w="1228" w:type="pct"/>
                  <w:tcBorders>
                    <w:tl2br w:val="nil"/>
                    <w:tr2bl w:val="nil"/>
                  </w:tcBorders>
                  <w:noWrap w:val="0"/>
                  <w:vAlign w:val="center"/>
                </w:tcPr>
                <w:p w14:paraId="3CD4348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无组织排放监控浓度</w:t>
                  </w:r>
                  <w:r>
                    <w:rPr>
                      <w:rFonts w:hint="default" w:ascii="Times New Roman" w:hAnsi="Times New Roman" w:eastAsia="宋体" w:cs="Times New Roman"/>
                      <w:b/>
                      <w:bCs/>
                      <w:color w:val="auto"/>
                      <w:kern w:val="2"/>
                      <w:sz w:val="21"/>
                      <w:szCs w:val="21"/>
                      <w:lang w:eastAsia="zh-CN"/>
                    </w:rPr>
                    <w:t>（</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kern w:val="2"/>
                      <w:sz w:val="21"/>
                      <w:szCs w:val="21"/>
                      <w:lang w:eastAsia="zh-CN"/>
                    </w:rPr>
                    <w:t>）</w:t>
                  </w:r>
                </w:p>
              </w:tc>
              <w:tc>
                <w:tcPr>
                  <w:tcW w:w="1468" w:type="pct"/>
                  <w:tcBorders>
                    <w:tl2br w:val="nil"/>
                    <w:tr2bl w:val="nil"/>
                  </w:tcBorders>
                  <w:noWrap w:val="0"/>
                  <w:vAlign w:val="center"/>
                </w:tcPr>
                <w:p w14:paraId="1756BF8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监控位置</w:t>
                  </w:r>
                </w:p>
              </w:tc>
              <w:tc>
                <w:tcPr>
                  <w:tcW w:w="1468" w:type="pct"/>
                  <w:tcBorders>
                    <w:tl2br w:val="nil"/>
                    <w:tr2bl w:val="nil"/>
                  </w:tcBorders>
                  <w:noWrap w:val="0"/>
                  <w:vAlign w:val="center"/>
                </w:tcPr>
                <w:p w14:paraId="64F9F0E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标准</w:t>
                  </w:r>
                </w:p>
              </w:tc>
            </w:tr>
            <w:tr w14:paraId="21161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834" w:type="pct"/>
                  <w:tcBorders>
                    <w:tl2br w:val="nil"/>
                    <w:tr2bl w:val="nil"/>
                  </w:tcBorders>
                  <w:shd w:val="clear" w:color="auto" w:fill="auto"/>
                  <w:noWrap w:val="0"/>
                  <w:vAlign w:val="center"/>
                </w:tcPr>
                <w:p w14:paraId="0C2947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1228" w:type="pct"/>
                  <w:tcBorders>
                    <w:tl2br w:val="nil"/>
                    <w:tr2bl w:val="nil"/>
                  </w:tcBorders>
                  <w:shd w:val="clear" w:color="auto" w:fill="auto"/>
                  <w:noWrap w:val="0"/>
                  <w:vAlign w:val="center"/>
                </w:tcPr>
                <w:p w14:paraId="59451E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0.5</w:t>
                  </w:r>
                </w:p>
              </w:tc>
              <w:tc>
                <w:tcPr>
                  <w:tcW w:w="1468" w:type="pct"/>
                  <w:vMerge w:val="restart"/>
                  <w:tcBorders>
                    <w:tl2br w:val="nil"/>
                    <w:tr2bl w:val="nil"/>
                  </w:tcBorders>
                  <w:noWrap w:val="0"/>
                  <w:vAlign w:val="center"/>
                </w:tcPr>
                <w:p w14:paraId="683CF24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边界外浓度最高点</w:t>
                  </w:r>
                </w:p>
              </w:tc>
              <w:tc>
                <w:tcPr>
                  <w:tcW w:w="1468" w:type="pct"/>
                  <w:vMerge w:val="restart"/>
                  <w:tcBorders>
                    <w:tl2br w:val="nil"/>
                    <w:tr2bl w:val="nil"/>
                  </w:tcBorders>
                  <w:noWrap w:val="0"/>
                  <w:vAlign w:val="center"/>
                </w:tcPr>
                <w:p w14:paraId="47CB3A1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《大气污染物综合排放标准》（DB32/4041-2021）</w:t>
                  </w:r>
                </w:p>
              </w:tc>
            </w:tr>
            <w:tr w14:paraId="4E310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34" w:type="pct"/>
                  <w:tcBorders>
                    <w:tl2br w:val="nil"/>
                    <w:tr2bl w:val="nil"/>
                  </w:tcBorders>
                  <w:shd w:val="clear" w:color="auto" w:fill="auto"/>
                  <w:noWrap w:val="0"/>
                  <w:vAlign w:val="center"/>
                </w:tcPr>
                <w:p w14:paraId="73476F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1228" w:type="pct"/>
                  <w:tcBorders>
                    <w:tl2br w:val="nil"/>
                    <w:tr2bl w:val="nil"/>
                  </w:tcBorders>
                  <w:shd w:val="clear" w:color="auto" w:fill="auto"/>
                  <w:noWrap w:val="0"/>
                  <w:vAlign w:val="center"/>
                </w:tcPr>
                <w:p w14:paraId="3D6A6D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4</w:t>
                  </w:r>
                </w:p>
              </w:tc>
              <w:tc>
                <w:tcPr>
                  <w:tcW w:w="1468" w:type="pct"/>
                  <w:vMerge w:val="continue"/>
                  <w:tcBorders>
                    <w:tl2br w:val="nil"/>
                    <w:tr2bl w:val="nil"/>
                  </w:tcBorders>
                  <w:noWrap w:val="0"/>
                  <w:vAlign w:val="center"/>
                </w:tcPr>
                <w:p w14:paraId="1B68181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c>
                <w:tcPr>
                  <w:tcW w:w="1468" w:type="pct"/>
                  <w:vMerge w:val="continue"/>
                  <w:tcBorders>
                    <w:tl2br w:val="nil"/>
                    <w:tr2bl w:val="nil"/>
                  </w:tcBorders>
                  <w:noWrap w:val="0"/>
                  <w:vAlign w:val="center"/>
                </w:tcPr>
                <w:p w14:paraId="26A70A9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r w14:paraId="29F34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34" w:type="pct"/>
                  <w:tcBorders>
                    <w:tl2br w:val="nil"/>
                    <w:tr2bl w:val="nil"/>
                  </w:tcBorders>
                  <w:shd w:val="clear" w:color="auto" w:fill="auto"/>
                  <w:noWrap w:val="0"/>
                  <w:vAlign w:val="center"/>
                </w:tcPr>
                <w:p w14:paraId="24C561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1228" w:type="pct"/>
                  <w:tcBorders>
                    <w:tl2br w:val="nil"/>
                    <w:tr2bl w:val="nil"/>
                  </w:tcBorders>
                  <w:shd w:val="clear" w:color="auto" w:fill="auto"/>
                  <w:noWrap w:val="0"/>
                  <w:vAlign w:val="center"/>
                </w:tcPr>
                <w:p w14:paraId="057F7C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0.05</w:t>
                  </w:r>
                </w:p>
              </w:tc>
              <w:tc>
                <w:tcPr>
                  <w:tcW w:w="1468" w:type="pct"/>
                  <w:vMerge w:val="continue"/>
                  <w:tcBorders>
                    <w:tl2br w:val="nil"/>
                    <w:tr2bl w:val="nil"/>
                  </w:tcBorders>
                  <w:noWrap w:val="0"/>
                  <w:vAlign w:val="center"/>
                </w:tcPr>
                <w:p w14:paraId="64426F95">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c>
                <w:tcPr>
                  <w:tcW w:w="1468" w:type="pct"/>
                  <w:vMerge w:val="continue"/>
                  <w:tcBorders>
                    <w:tl2br w:val="nil"/>
                    <w:tr2bl w:val="nil"/>
                  </w:tcBorders>
                  <w:noWrap w:val="0"/>
                  <w:vAlign w:val="center"/>
                </w:tcPr>
                <w:p w14:paraId="23F5CB0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r w14:paraId="4BCF3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34" w:type="pct"/>
                  <w:tcBorders>
                    <w:tl2br w:val="nil"/>
                    <w:tr2bl w:val="nil"/>
                  </w:tcBorders>
                  <w:shd w:val="clear" w:color="auto" w:fill="auto"/>
                  <w:noWrap w:val="0"/>
                  <w:vAlign w:val="center"/>
                </w:tcPr>
                <w:p w14:paraId="3BAF6C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1228" w:type="pct"/>
                  <w:tcBorders>
                    <w:tl2br w:val="nil"/>
                    <w:tr2bl w:val="nil"/>
                  </w:tcBorders>
                  <w:shd w:val="clear" w:color="auto" w:fill="auto"/>
                  <w:noWrap w:val="0"/>
                  <w:vAlign w:val="center"/>
                </w:tcPr>
                <w:p w14:paraId="30397E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0.15</w:t>
                  </w:r>
                </w:p>
              </w:tc>
              <w:tc>
                <w:tcPr>
                  <w:tcW w:w="1468" w:type="pct"/>
                  <w:vMerge w:val="continue"/>
                  <w:tcBorders>
                    <w:tl2br w:val="nil"/>
                    <w:tr2bl w:val="nil"/>
                  </w:tcBorders>
                  <w:noWrap w:val="0"/>
                  <w:vAlign w:val="center"/>
                </w:tcPr>
                <w:p w14:paraId="574FAA1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c>
                <w:tcPr>
                  <w:tcW w:w="1468" w:type="pct"/>
                  <w:vMerge w:val="continue"/>
                  <w:tcBorders>
                    <w:tl2br w:val="nil"/>
                    <w:tr2bl w:val="nil"/>
                  </w:tcBorders>
                  <w:noWrap w:val="0"/>
                  <w:vAlign w:val="center"/>
                </w:tcPr>
                <w:p w14:paraId="7CDDA19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r>
          </w:tbl>
          <w:p w14:paraId="23378B6E">
            <w:pPr>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表3-1</w:t>
            </w:r>
            <w:r>
              <w:rPr>
                <w:rFonts w:hint="eastAsia" w:cs="Times New Roman"/>
                <w:b/>
                <w:bCs/>
                <w:color w:val="auto"/>
                <w:sz w:val="21"/>
                <w:szCs w:val="21"/>
                <w:lang w:val="en-US" w:eastAsia="zh-CN"/>
              </w:rPr>
              <w:t>0</w:t>
            </w:r>
            <w:r>
              <w:rPr>
                <w:rFonts w:hint="default" w:ascii="Times New Roman" w:hAnsi="Times New Roman" w:eastAsia="宋体" w:cs="Times New Roman"/>
                <w:b/>
                <w:bCs/>
                <w:color w:val="auto"/>
                <w:sz w:val="21"/>
                <w:szCs w:val="21"/>
              </w:rPr>
              <w:t xml:space="preserve">  厂区内VOCs无组织排放限值</w:t>
            </w:r>
          </w:p>
          <w:tbl>
            <w:tblPr>
              <w:tblStyle w:val="4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1472"/>
              <w:gridCol w:w="2479"/>
              <w:gridCol w:w="2934"/>
              <w:gridCol w:w="2396"/>
            </w:tblGrid>
            <w:tr w14:paraId="572CB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2" w:hRule="atLeast"/>
                <w:jc w:val="center"/>
              </w:trPr>
              <w:tc>
                <w:tcPr>
                  <w:tcW w:w="793" w:type="pct"/>
                  <w:tcBorders>
                    <w:tl2br w:val="nil"/>
                    <w:tr2bl w:val="nil"/>
                  </w:tcBorders>
                  <w:noWrap w:val="0"/>
                  <w:vAlign w:val="center"/>
                </w:tcPr>
                <w:p w14:paraId="689A3A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335" w:type="pct"/>
                  <w:tcBorders>
                    <w:tl2br w:val="nil"/>
                    <w:tr2bl w:val="nil"/>
                  </w:tcBorders>
                  <w:noWrap w:val="0"/>
                  <w:vAlign w:val="center"/>
                </w:tcPr>
                <w:p w14:paraId="620041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特别排放限值</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val="en-US" w:eastAsia="zh-CN"/>
                    </w:rPr>
                    <w:t>）</w:t>
                  </w:r>
                </w:p>
              </w:tc>
              <w:tc>
                <w:tcPr>
                  <w:tcW w:w="1580" w:type="pct"/>
                  <w:tcBorders>
                    <w:tl2br w:val="nil"/>
                    <w:tr2bl w:val="nil"/>
                  </w:tcBorders>
                  <w:noWrap w:val="0"/>
                  <w:vAlign w:val="center"/>
                </w:tcPr>
                <w:p w14:paraId="7CE5A0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限值含义</w:t>
                  </w:r>
                </w:p>
              </w:tc>
              <w:tc>
                <w:tcPr>
                  <w:tcW w:w="1290" w:type="pct"/>
                  <w:tcBorders>
                    <w:tl2br w:val="nil"/>
                    <w:tr2bl w:val="nil"/>
                  </w:tcBorders>
                  <w:noWrap w:val="0"/>
                  <w:vAlign w:val="center"/>
                </w:tcPr>
                <w:p w14:paraId="6AAAAC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无组织排放监控位置</w:t>
                  </w:r>
                </w:p>
              </w:tc>
            </w:tr>
            <w:tr w14:paraId="7CFDE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2" w:hRule="atLeast"/>
                <w:jc w:val="center"/>
              </w:trPr>
              <w:tc>
                <w:tcPr>
                  <w:tcW w:w="793" w:type="pct"/>
                  <w:vMerge w:val="restart"/>
                  <w:tcBorders>
                    <w:tl2br w:val="nil"/>
                    <w:tr2bl w:val="nil"/>
                  </w:tcBorders>
                  <w:noWrap w:val="0"/>
                  <w:vAlign w:val="center"/>
                </w:tcPr>
                <w:p w14:paraId="699443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非甲烷总烃</w:t>
                  </w:r>
                </w:p>
              </w:tc>
              <w:tc>
                <w:tcPr>
                  <w:tcW w:w="1335" w:type="pct"/>
                  <w:tcBorders>
                    <w:tl2br w:val="nil"/>
                    <w:tr2bl w:val="nil"/>
                  </w:tcBorders>
                  <w:noWrap w:val="0"/>
                  <w:vAlign w:val="center"/>
                </w:tcPr>
                <w:p w14:paraId="037EDC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580" w:type="pct"/>
                  <w:tcBorders>
                    <w:tl2br w:val="nil"/>
                    <w:tr2bl w:val="nil"/>
                  </w:tcBorders>
                  <w:noWrap w:val="0"/>
                  <w:vAlign w:val="center"/>
                </w:tcPr>
                <w:p w14:paraId="0EA1F5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监控点处1h平均浓度值</w:t>
                  </w:r>
                </w:p>
              </w:tc>
              <w:tc>
                <w:tcPr>
                  <w:tcW w:w="1290" w:type="pct"/>
                  <w:vMerge w:val="restart"/>
                  <w:tcBorders>
                    <w:tl2br w:val="nil"/>
                    <w:tr2bl w:val="nil"/>
                  </w:tcBorders>
                  <w:noWrap w:val="0"/>
                  <w:vAlign w:val="center"/>
                </w:tcPr>
                <w:p w14:paraId="3525D1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在厂房外设置监控点</w:t>
                  </w:r>
                </w:p>
              </w:tc>
            </w:tr>
            <w:tr w14:paraId="5B368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12" w:hRule="atLeast"/>
                <w:jc w:val="center"/>
              </w:trPr>
              <w:tc>
                <w:tcPr>
                  <w:tcW w:w="793" w:type="pct"/>
                  <w:vMerge w:val="continue"/>
                  <w:tcBorders>
                    <w:tl2br w:val="nil"/>
                    <w:tr2bl w:val="nil"/>
                  </w:tcBorders>
                  <w:noWrap w:val="0"/>
                  <w:vAlign w:val="center"/>
                </w:tcPr>
                <w:p w14:paraId="59831B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335" w:type="pct"/>
                  <w:tcBorders>
                    <w:tl2br w:val="nil"/>
                    <w:tr2bl w:val="nil"/>
                  </w:tcBorders>
                  <w:noWrap w:val="0"/>
                  <w:vAlign w:val="center"/>
                </w:tcPr>
                <w:p w14:paraId="12A62C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580" w:type="pct"/>
                  <w:tcBorders>
                    <w:tl2br w:val="nil"/>
                    <w:tr2bl w:val="nil"/>
                  </w:tcBorders>
                  <w:noWrap w:val="0"/>
                  <w:vAlign w:val="center"/>
                </w:tcPr>
                <w:p w14:paraId="5E555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监控点处任意一次浓度值</w:t>
                  </w:r>
                </w:p>
              </w:tc>
              <w:tc>
                <w:tcPr>
                  <w:tcW w:w="1290" w:type="pct"/>
                  <w:vMerge w:val="continue"/>
                  <w:tcBorders>
                    <w:tl2br w:val="nil"/>
                    <w:tr2bl w:val="nil"/>
                  </w:tcBorders>
                  <w:noWrap w:val="0"/>
                  <w:vAlign w:val="center"/>
                </w:tcPr>
                <w:p w14:paraId="438D1C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bl>
          <w:p w14:paraId="55E84EBC">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2.2废水排放标准</w:t>
            </w:r>
          </w:p>
          <w:p w14:paraId="1C6A5661">
            <w:pPr>
              <w:adjustRightInd w:val="0"/>
              <w:snapToGrid w:val="0"/>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本项目</w:t>
            </w:r>
            <w:r>
              <w:rPr>
                <w:rFonts w:hint="eastAsia" w:cs="Times New Roman"/>
                <w:color w:val="auto"/>
                <w:sz w:val="24"/>
                <w:szCs w:val="24"/>
                <w:lang w:val="en-US" w:eastAsia="zh-CN"/>
              </w:rPr>
              <w:t>冷却水回用，定期更换不外排</w:t>
            </w:r>
            <w:r>
              <w:rPr>
                <w:rFonts w:hint="default" w:ascii="Times New Roman" w:hAnsi="Times New Roman" w:eastAsia="宋体" w:cs="Times New Roman"/>
                <w:color w:val="auto"/>
                <w:sz w:val="24"/>
                <w:szCs w:val="24"/>
              </w:rPr>
              <w:t>，外排废水主要为生活污水，经市政污水管网接至</w:t>
            </w:r>
            <w:r>
              <w:rPr>
                <w:rFonts w:hint="default" w:ascii="Times New Roman" w:hAnsi="Times New Roman" w:eastAsia="宋体" w:cs="Times New Roman"/>
                <w:color w:val="auto"/>
                <w:sz w:val="24"/>
                <w:szCs w:val="24"/>
                <w:lang w:eastAsia="zh-CN"/>
              </w:rPr>
              <w:t>常州市</w:t>
            </w:r>
            <w:r>
              <w:rPr>
                <w:rFonts w:hint="eastAsia"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，接管废水执行</w:t>
            </w:r>
            <w:r>
              <w:rPr>
                <w:rFonts w:hint="eastAsia"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接管标准，</w:t>
            </w:r>
            <w:r>
              <w:rPr>
                <w:rFonts w:hint="default" w:ascii="Times New Roman" w:hAnsi="Times New Roman" w:eastAsia="宋体" w:cs="Times New Roman"/>
                <w:color w:val="auto"/>
                <w:sz w:val="24"/>
                <w:szCs w:val="24"/>
                <w:lang w:eastAsia="zh-CN"/>
              </w:rPr>
              <w:t>常州市</w:t>
            </w:r>
            <w:r>
              <w:rPr>
                <w:rFonts w:hint="eastAsia"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处理</w:t>
            </w:r>
            <w:r>
              <w:rPr>
                <w:rFonts w:hint="default" w:ascii="Times New Roman" w:hAnsi="Times New Roman" w:eastAsia="宋体" w:cs="Times New Roman"/>
                <w:color w:val="auto"/>
                <w:sz w:val="24"/>
                <w:szCs w:val="24"/>
                <w:lang w:val="en-US" w:eastAsia="zh-CN"/>
              </w:rPr>
              <w:t>达标</w:t>
            </w:r>
            <w:r>
              <w:rPr>
                <w:rFonts w:hint="default" w:ascii="Times New Roman" w:hAnsi="Times New Roman" w:eastAsia="宋体" w:cs="Times New Roman"/>
                <w:color w:val="auto"/>
                <w:sz w:val="24"/>
                <w:szCs w:val="24"/>
              </w:rPr>
              <w:t>后尾水排入</w:t>
            </w:r>
            <w:r>
              <w:rPr>
                <w:rFonts w:hint="default" w:ascii="Times New Roman" w:hAnsi="Times New Roman" w:eastAsia="宋体" w:cs="Times New Roman"/>
                <w:color w:val="auto"/>
                <w:sz w:val="24"/>
                <w:szCs w:val="24"/>
                <w:lang w:val="en-US" w:eastAsia="zh-CN"/>
              </w:rPr>
              <w:t>儒林</w:t>
            </w:r>
            <w:r>
              <w:rPr>
                <w:rFonts w:hint="default" w:ascii="Times New Roman" w:hAnsi="Times New Roman" w:eastAsia="宋体" w:cs="Times New Roman"/>
                <w:color w:val="auto"/>
                <w:sz w:val="24"/>
                <w:szCs w:val="24"/>
              </w:rPr>
              <w:t>河，排放标准执行《城镇污水处理厂污染物排放标准》（GB18918-2002）中一级A标准以及《太湖地区城镇污水处理厂及重点行业主要水污染物排放限值》（DB32/T1072-2018）中表2城镇污水处理标准，标准值参见下表。</w:t>
            </w:r>
          </w:p>
          <w:p w14:paraId="5FF3CE5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废水排放标准限值表</w:t>
            </w:r>
          </w:p>
          <w:tbl>
            <w:tblPr>
              <w:tblStyle w:val="4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25"/>
              <w:gridCol w:w="3937"/>
              <w:gridCol w:w="1118"/>
              <w:gridCol w:w="1326"/>
              <w:gridCol w:w="1579"/>
            </w:tblGrid>
            <w:tr w14:paraId="7AFAE7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tcBorders>
                    <w:tl2br w:val="nil"/>
                    <w:tr2bl w:val="nil"/>
                  </w:tcBorders>
                  <w:noWrap w:val="0"/>
                  <w:tcMar>
                    <w:top w:w="0" w:type="dxa"/>
                    <w:left w:w="108" w:type="dxa"/>
                    <w:bottom w:w="0" w:type="dxa"/>
                    <w:right w:w="108" w:type="dxa"/>
                  </w:tcMar>
                  <w:vAlign w:val="center"/>
                </w:tcPr>
                <w:p w14:paraId="0B9C152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类别</w:t>
                  </w:r>
                </w:p>
              </w:tc>
              <w:tc>
                <w:tcPr>
                  <w:tcW w:w="2119" w:type="pct"/>
                  <w:tcBorders>
                    <w:tl2br w:val="nil"/>
                    <w:tr2bl w:val="nil"/>
                  </w:tcBorders>
                  <w:noWrap w:val="0"/>
                  <w:tcMar>
                    <w:top w:w="0" w:type="dxa"/>
                    <w:left w:w="108" w:type="dxa"/>
                    <w:bottom w:w="0" w:type="dxa"/>
                    <w:right w:w="108" w:type="dxa"/>
                  </w:tcMar>
                  <w:vAlign w:val="center"/>
                </w:tcPr>
                <w:p w14:paraId="63CCAC8C">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执行标准</w:t>
                  </w:r>
                </w:p>
              </w:tc>
              <w:tc>
                <w:tcPr>
                  <w:tcW w:w="602" w:type="pct"/>
                  <w:tcBorders>
                    <w:tl2br w:val="nil"/>
                    <w:tr2bl w:val="nil"/>
                  </w:tcBorders>
                  <w:noWrap w:val="0"/>
                  <w:tcMar>
                    <w:top w:w="0" w:type="dxa"/>
                    <w:left w:w="108" w:type="dxa"/>
                    <w:bottom w:w="0" w:type="dxa"/>
                    <w:right w:w="108" w:type="dxa"/>
                  </w:tcMar>
                  <w:vAlign w:val="center"/>
                </w:tcPr>
                <w:p w14:paraId="69F6DAA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w:t>
                  </w:r>
                </w:p>
                <w:p w14:paraId="5E1D338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级别</w:t>
                  </w:r>
                </w:p>
              </w:tc>
              <w:tc>
                <w:tcPr>
                  <w:tcW w:w="714" w:type="pct"/>
                  <w:tcBorders>
                    <w:tl2br w:val="nil"/>
                    <w:tr2bl w:val="nil"/>
                  </w:tcBorders>
                  <w:noWrap w:val="0"/>
                  <w:tcMar>
                    <w:top w:w="0" w:type="dxa"/>
                    <w:left w:w="108" w:type="dxa"/>
                    <w:bottom w:w="0" w:type="dxa"/>
                    <w:right w:w="108" w:type="dxa"/>
                  </w:tcMar>
                  <w:vAlign w:val="center"/>
                </w:tcPr>
                <w:p w14:paraId="796B7B7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指标</w:t>
                  </w:r>
                </w:p>
              </w:tc>
              <w:tc>
                <w:tcPr>
                  <w:tcW w:w="850" w:type="pct"/>
                  <w:tcBorders>
                    <w:tl2br w:val="nil"/>
                    <w:tr2bl w:val="nil"/>
                  </w:tcBorders>
                  <w:noWrap w:val="0"/>
                  <w:tcMar>
                    <w:top w:w="0" w:type="dxa"/>
                    <w:left w:w="108" w:type="dxa"/>
                    <w:bottom w:w="0" w:type="dxa"/>
                    <w:right w:w="108" w:type="dxa"/>
                  </w:tcMar>
                  <w:vAlign w:val="center"/>
                </w:tcPr>
                <w:p w14:paraId="73F921B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标准限值</w:t>
                  </w:r>
                  <w:r>
                    <w:rPr>
                      <w:rFonts w:hint="default" w:ascii="Times New Roman" w:hAnsi="Times New Roman" w:eastAsia="宋体" w:cs="Times New Roman"/>
                      <w:b/>
                      <w:bCs/>
                      <w:color w:val="auto"/>
                      <w:kern w:val="2"/>
                      <w:sz w:val="21"/>
                      <w:szCs w:val="21"/>
                      <w:lang w:eastAsia="zh-CN"/>
                    </w:rPr>
                    <w:t>（</w:t>
                  </w:r>
                  <w:r>
                    <w:rPr>
                      <w:rFonts w:hint="default" w:ascii="Times New Roman" w:hAnsi="Times New Roman" w:eastAsia="宋体" w:cs="Times New Roman"/>
                      <w:b/>
                      <w:bCs/>
                      <w:color w:val="auto"/>
                      <w:sz w:val="21"/>
                      <w:szCs w:val="21"/>
                    </w:rPr>
                    <w:t>mg/</w:t>
                  </w:r>
                  <w:r>
                    <w:rPr>
                      <w:rFonts w:hint="eastAsia" w:cs="Times New Roman"/>
                      <w:b/>
                      <w:bCs/>
                      <w:color w:val="auto"/>
                      <w:sz w:val="21"/>
                      <w:szCs w:val="21"/>
                      <w:lang w:val="en-US" w:eastAsia="zh-CN"/>
                    </w:rPr>
                    <w:t>L</w:t>
                  </w:r>
                  <w:r>
                    <w:rPr>
                      <w:rFonts w:hint="default" w:ascii="Times New Roman" w:hAnsi="Times New Roman" w:eastAsia="宋体" w:cs="Times New Roman"/>
                      <w:b/>
                      <w:bCs/>
                      <w:color w:val="auto"/>
                      <w:kern w:val="2"/>
                      <w:sz w:val="21"/>
                      <w:szCs w:val="21"/>
                      <w:lang w:eastAsia="zh-CN"/>
                    </w:rPr>
                    <w:t>）</w:t>
                  </w:r>
                </w:p>
              </w:tc>
            </w:tr>
            <w:tr w14:paraId="42FA20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restart"/>
                  <w:tcBorders>
                    <w:tl2br w:val="nil"/>
                    <w:tr2bl w:val="nil"/>
                  </w:tcBorders>
                  <w:noWrap w:val="0"/>
                  <w:tcMar>
                    <w:top w:w="0" w:type="dxa"/>
                    <w:left w:w="108" w:type="dxa"/>
                    <w:bottom w:w="0" w:type="dxa"/>
                    <w:right w:w="108" w:type="dxa"/>
                  </w:tcMar>
                  <w:vAlign w:val="center"/>
                </w:tcPr>
                <w:p w14:paraId="5E240810">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接管标准</w:t>
                  </w:r>
                </w:p>
              </w:tc>
              <w:tc>
                <w:tcPr>
                  <w:tcW w:w="2119" w:type="pct"/>
                  <w:vMerge w:val="restart"/>
                  <w:tcBorders>
                    <w:tl2br w:val="nil"/>
                    <w:tr2bl w:val="nil"/>
                  </w:tcBorders>
                  <w:noWrap w:val="0"/>
                  <w:tcMar>
                    <w:top w:w="0" w:type="dxa"/>
                    <w:left w:w="108" w:type="dxa"/>
                    <w:bottom w:w="0" w:type="dxa"/>
                    <w:right w:w="108" w:type="dxa"/>
                  </w:tcMar>
                  <w:vAlign w:val="center"/>
                </w:tcPr>
                <w:p w14:paraId="4524D92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常州市金坛儒林污水处理厂</w:t>
                  </w:r>
                  <w:r>
                    <w:rPr>
                      <w:rFonts w:hint="default" w:ascii="Times New Roman" w:hAnsi="Times New Roman" w:eastAsia="宋体" w:cs="Times New Roman"/>
                      <w:color w:val="auto"/>
                      <w:sz w:val="21"/>
                      <w:szCs w:val="21"/>
                      <w:highlight w:val="none"/>
                      <w:lang w:val="en-US" w:eastAsia="zh-CN"/>
                    </w:rPr>
                    <w:t>接管标准</w:t>
                  </w:r>
                </w:p>
              </w:tc>
              <w:tc>
                <w:tcPr>
                  <w:tcW w:w="602" w:type="pct"/>
                  <w:vMerge w:val="restart"/>
                  <w:tcBorders>
                    <w:tl2br w:val="nil"/>
                    <w:tr2bl w:val="nil"/>
                  </w:tcBorders>
                  <w:noWrap w:val="0"/>
                  <w:tcMar>
                    <w:top w:w="0" w:type="dxa"/>
                    <w:left w:w="108" w:type="dxa"/>
                    <w:bottom w:w="0" w:type="dxa"/>
                    <w:right w:w="108" w:type="dxa"/>
                  </w:tcMar>
                  <w:vAlign w:val="center"/>
                </w:tcPr>
                <w:p w14:paraId="45DA0D12">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714" w:type="pct"/>
                  <w:tcBorders>
                    <w:tl2br w:val="nil"/>
                    <w:tr2bl w:val="nil"/>
                  </w:tcBorders>
                  <w:noWrap w:val="0"/>
                  <w:tcMar>
                    <w:top w:w="0" w:type="dxa"/>
                    <w:left w:w="108" w:type="dxa"/>
                    <w:bottom w:w="0" w:type="dxa"/>
                    <w:right w:w="108" w:type="dxa"/>
                  </w:tcMar>
                  <w:vAlign w:val="center"/>
                </w:tcPr>
                <w:p w14:paraId="1BB3C9FF">
                  <w:pPr>
                    <w:keepNext w:val="0"/>
                    <w:keepLines w:val="0"/>
                    <w:pageBreakBefore w:val="0"/>
                    <w:widowControl w:val="0"/>
                    <w:kinsoku/>
                    <w:wordWrap/>
                    <w:overflowPunct/>
                    <w:topLinePunct w:val="0"/>
                    <w:bidi w:val="0"/>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pH</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无量纲</w:t>
                  </w:r>
                  <w:r>
                    <w:rPr>
                      <w:rFonts w:hint="eastAsia" w:cs="Times New Roman"/>
                      <w:color w:val="auto"/>
                      <w:sz w:val="21"/>
                      <w:szCs w:val="21"/>
                      <w:highlight w:val="none"/>
                      <w:lang w:eastAsia="zh-CN"/>
                    </w:rPr>
                    <w:t>）</w:t>
                  </w:r>
                </w:p>
              </w:tc>
              <w:tc>
                <w:tcPr>
                  <w:tcW w:w="850" w:type="pct"/>
                  <w:tcBorders>
                    <w:tl2br w:val="nil"/>
                    <w:tr2bl w:val="nil"/>
                  </w:tcBorders>
                  <w:noWrap w:val="0"/>
                  <w:tcMar>
                    <w:top w:w="0" w:type="dxa"/>
                    <w:left w:w="108" w:type="dxa"/>
                    <w:bottom w:w="0" w:type="dxa"/>
                    <w:right w:w="108" w:type="dxa"/>
                  </w:tcMar>
                  <w:vAlign w:val="center"/>
                </w:tcPr>
                <w:p w14:paraId="53158EF2">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14:paraId="10124C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51D22DAD">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1A5982F0">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0F4E1F2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5166431F">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850" w:type="pct"/>
                  <w:tcBorders>
                    <w:tl2br w:val="nil"/>
                    <w:tr2bl w:val="nil"/>
                  </w:tcBorders>
                  <w:noWrap w:val="0"/>
                  <w:tcMar>
                    <w:top w:w="0" w:type="dxa"/>
                    <w:left w:w="108" w:type="dxa"/>
                    <w:bottom w:w="0" w:type="dxa"/>
                    <w:right w:w="108" w:type="dxa"/>
                  </w:tcMar>
                  <w:vAlign w:val="center"/>
                </w:tcPr>
                <w:p w14:paraId="027B79C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360</w:t>
                  </w:r>
                </w:p>
              </w:tc>
            </w:tr>
            <w:tr w14:paraId="20B0E3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1F0AD9A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29B5014D">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2E1B992D">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658CEF2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850" w:type="pct"/>
                  <w:tcBorders>
                    <w:tl2br w:val="nil"/>
                    <w:tr2bl w:val="nil"/>
                  </w:tcBorders>
                  <w:noWrap w:val="0"/>
                  <w:tcMar>
                    <w:top w:w="0" w:type="dxa"/>
                    <w:left w:w="108" w:type="dxa"/>
                    <w:bottom w:w="0" w:type="dxa"/>
                    <w:right w:w="108" w:type="dxa"/>
                  </w:tcMar>
                  <w:vAlign w:val="center"/>
                </w:tcPr>
                <w:p w14:paraId="58E5B830">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200</w:t>
                  </w:r>
                </w:p>
              </w:tc>
            </w:tr>
            <w:tr w14:paraId="23D038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74851FB1">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1910D09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35FFA8F2">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75AEC00E">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850" w:type="pct"/>
                  <w:tcBorders>
                    <w:tl2br w:val="nil"/>
                    <w:tr2bl w:val="nil"/>
                  </w:tcBorders>
                  <w:noWrap w:val="0"/>
                  <w:tcMar>
                    <w:top w:w="0" w:type="dxa"/>
                    <w:left w:w="108" w:type="dxa"/>
                    <w:bottom w:w="0" w:type="dxa"/>
                    <w:right w:w="108" w:type="dxa"/>
                  </w:tcMar>
                  <w:vAlign w:val="center"/>
                </w:tcPr>
                <w:p w14:paraId="45B31FAB">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5</w:t>
                  </w:r>
                </w:p>
              </w:tc>
            </w:tr>
            <w:tr w14:paraId="3F7E33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4EE21F8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20842EC5">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699EAF0F">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3CC8838B">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TP</w:t>
                  </w:r>
                </w:p>
              </w:tc>
              <w:tc>
                <w:tcPr>
                  <w:tcW w:w="850" w:type="pct"/>
                  <w:tcBorders>
                    <w:tl2br w:val="nil"/>
                    <w:tr2bl w:val="nil"/>
                  </w:tcBorders>
                  <w:noWrap w:val="0"/>
                  <w:tcMar>
                    <w:top w:w="0" w:type="dxa"/>
                    <w:left w:w="108" w:type="dxa"/>
                    <w:bottom w:w="0" w:type="dxa"/>
                    <w:right w:w="108" w:type="dxa"/>
                  </w:tcMar>
                  <w:vAlign w:val="center"/>
                </w:tcPr>
                <w:p w14:paraId="09AA729B">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p>
              </w:tc>
            </w:tr>
            <w:tr w14:paraId="110011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2B3BD141">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00A4181D">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34C7497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1014961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TN</w:t>
                  </w:r>
                </w:p>
              </w:tc>
              <w:tc>
                <w:tcPr>
                  <w:tcW w:w="850" w:type="pct"/>
                  <w:tcBorders>
                    <w:tl2br w:val="nil"/>
                    <w:tr2bl w:val="nil"/>
                  </w:tcBorders>
                  <w:noWrap w:val="0"/>
                  <w:tcMar>
                    <w:top w:w="0" w:type="dxa"/>
                    <w:left w:w="108" w:type="dxa"/>
                    <w:bottom w:w="0" w:type="dxa"/>
                    <w:right w:w="108" w:type="dxa"/>
                  </w:tcMar>
                  <w:vAlign w:val="center"/>
                </w:tcPr>
                <w:p w14:paraId="0365BBF8">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w:t>
                  </w:r>
                </w:p>
              </w:tc>
            </w:tr>
            <w:tr w14:paraId="39F5F0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restart"/>
                  <w:tcBorders>
                    <w:tl2br w:val="nil"/>
                    <w:tr2bl w:val="nil"/>
                  </w:tcBorders>
                  <w:noWrap w:val="0"/>
                  <w:tcMar>
                    <w:top w:w="0" w:type="dxa"/>
                    <w:left w:w="108" w:type="dxa"/>
                    <w:bottom w:w="0" w:type="dxa"/>
                    <w:right w:w="108" w:type="dxa"/>
                  </w:tcMar>
                  <w:vAlign w:val="center"/>
                </w:tcPr>
                <w:p w14:paraId="4693F69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常州市</w:t>
                  </w:r>
                  <w:r>
                    <w:rPr>
                      <w:rFonts w:hint="eastAsia" w:cs="Times New Roman"/>
                      <w:color w:val="auto"/>
                      <w:sz w:val="21"/>
                      <w:szCs w:val="21"/>
                      <w:highlight w:val="none"/>
                      <w:lang w:eastAsia="zh-CN"/>
                    </w:rPr>
                    <w:t>常州市金坛儒林污水处理厂</w:t>
                  </w:r>
                  <w:r>
                    <w:rPr>
                      <w:rFonts w:hint="default" w:ascii="Times New Roman" w:hAnsi="Times New Roman" w:eastAsia="宋体" w:cs="Times New Roman"/>
                      <w:color w:val="auto"/>
                      <w:sz w:val="21"/>
                      <w:szCs w:val="21"/>
                      <w:highlight w:val="none"/>
                    </w:rPr>
                    <w:t>排口</w:t>
                  </w:r>
                </w:p>
              </w:tc>
              <w:tc>
                <w:tcPr>
                  <w:tcW w:w="2119" w:type="pct"/>
                  <w:vMerge w:val="restart"/>
                  <w:tcBorders>
                    <w:tl2br w:val="nil"/>
                    <w:tr2bl w:val="nil"/>
                  </w:tcBorders>
                  <w:noWrap w:val="0"/>
                  <w:tcMar>
                    <w:top w:w="0" w:type="dxa"/>
                    <w:left w:w="108" w:type="dxa"/>
                    <w:bottom w:w="0" w:type="dxa"/>
                    <w:right w:w="108" w:type="dxa"/>
                  </w:tcMar>
                  <w:vAlign w:val="center"/>
                </w:tcPr>
                <w:p w14:paraId="5E45269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《城镇污水处理厂污染物排放标准》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 18918-2002</w:t>
                  </w:r>
                  <w:r>
                    <w:rPr>
                      <w:rFonts w:hint="default" w:ascii="Times New Roman" w:hAnsi="Times New Roman" w:eastAsia="宋体" w:cs="Times New Roman"/>
                      <w:color w:val="auto"/>
                      <w:sz w:val="21"/>
                      <w:szCs w:val="21"/>
                      <w:highlight w:val="none"/>
                      <w:lang w:eastAsia="zh-CN"/>
                    </w:rPr>
                    <w:t>）</w:t>
                  </w:r>
                </w:p>
              </w:tc>
              <w:tc>
                <w:tcPr>
                  <w:tcW w:w="602" w:type="pct"/>
                  <w:vMerge w:val="restart"/>
                  <w:tcBorders>
                    <w:tl2br w:val="nil"/>
                    <w:tr2bl w:val="nil"/>
                  </w:tcBorders>
                  <w:noWrap w:val="0"/>
                  <w:tcMar>
                    <w:top w:w="0" w:type="dxa"/>
                    <w:left w:w="108" w:type="dxa"/>
                    <w:bottom w:w="0" w:type="dxa"/>
                    <w:right w:w="108" w:type="dxa"/>
                  </w:tcMar>
                  <w:vAlign w:val="center"/>
                </w:tcPr>
                <w:p w14:paraId="637943FC">
                  <w:pPr>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一级A</w:t>
                  </w:r>
                </w:p>
              </w:tc>
              <w:tc>
                <w:tcPr>
                  <w:tcW w:w="714" w:type="pct"/>
                  <w:tcBorders>
                    <w:tl2br w:val="nil"/>
                    <w:tr2bl w:val="nil"/>
                  </w:tcBorders>
                  <w:noWrap w:val="0"/>
                  <w:tcMar>
                    <w:top w:w="0" w:type="dxa"/>
                    <w:left w:w="108" w:type="dxa"/>
                    <w:bottom w:w="0" w:type="dxa"/>
                    <w:right w:w="108" w:type="dxa"/>
                  </w:tcMar>
                  <w:vAlign w:val="center"/>
                </w:tcPr>
                <w:p w14:paraId="584D5DBF">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850" w:type="pct"/>
                  <w:tcBorders>
                    <w:tl2br w:val="nil"/>
                    <w:tr2bl w:val="nil"/>
                  </w:tcBorders>
                  <w:noWrap w:val="0"/>
                  <w:tcMar>
                    <w:top w:w="0" w:type="dxa"/>
                    <w:left w:w="108" w:type="dxa"/>
                    <w:bottom w:w="0" w:type="dxa"/>
                    <w:right w:w="108" w:type="dxa"/>
                  </w:tcMar>
                  <w:vAlign w:val="center"/>
                </w:tcPr>
                <w:p w14:paraId="62B149D9">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r>
            <w:tr w14:paraId="2DF0F4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tcMar>
                    <w:top w:w="0" w:type="dxa"/>
                    <w:left w:w="108" w:type="dxa"/>
                    <w:bottom w:w="0" w:type="dxa"/>
                    <w:right w:w="108" w:type="dxa"/>
                  </w:tcMar>
                  <w:vAlign w:val="center"/>
                </w:tcPr>
                <w:p w14:paraId="76230EA3">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tcMar>
                    <w:top w:w="0" w:type="dxa"/>
                    <w:left w:w="108" w:type="dxa"/>
                    <w:bottom w:w="0" w:type="dxa"/>
                    <w:right w:w="108" w:type="dxa"/>
                  </w:tcMar>
                  <w:vAlign w:val="center"/>
                </w:tcPr>
                <w:p w14:paraId="5E060E0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tcMar>
                    <w:top w:w="0" w:type="dxa"/>
                    <w:left w:w="108" w:type="dxa"/>
                    <w:bottom w:w="0" w:type="dxa"/>
                    <w:right w:w="108" w:type="dxa"/>
                  </w:tcMar>
                  <w:vAlign w:val="center"/>
                </w:tcPr>
                <w:p w14:paraId="6BB6C65A">
                  <w:pPr>
                    <w:keepNext w:val="0"/>
                    <w:keepLines w:val="0"/>
                    <w:pageBreakBefore w:val="0"/>
                    <w:widowControl w:val="0"/>
                    <w:kinsoku/>
                    <w:wordWrap/>
                    <w:overflowPunct/>
                    <w:topLinePunct w:val="0"/>
                    <w:bidi w:val="0"/>
                    <w:spacing w:line="240" w:lineRule="auto"/>
                    <w:ind w:firstLine="0" w:firstLineChars="0"/>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tcMar>
                    <w:top w:w="0" w:type="dxa"/>
                    <w:left w:w="108" w:type="dxa"/>
                    <w:bottom w:w="0" w:type="dxa"/>
                    <w:right w:w="108" w:type="dxa"/>
                  </w:tcMar>
                  <w:vAlign w:val="center"/>
                </w:tcPr>
                <w:p w14:paraId="687FFDB3">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850" w:type="pct"/>
                  <w:tcBorders>
                    <w:tl2br w:val="nil"/>
                    <w:tr2bl w:val="nil"/>
                  </w:tcBorders>
                  <w:noWrap w:val="0"/>
                  <w:tcMar>
                    <w:top w:w="0" w:type="dxa"/>
                    <w:left w:w="108" w:type="dxa"/>
                    <w:bottom w:w="0" w:type="dxa"/>
                    <w:right w:w="108" w:type="dxa"/>
                  </w:tcMar>
                  <w:vAlign w:val="center"/>
                </w:tcPr>
                <w:p w14:paraId="3795FF0D">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53653F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vAlign w:val="top"/>
                </w:tcPr>
                <w:p w14:paraId="43E2FE0A">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restart"/>
                  <w:tcBorders>
                    <w:tl2br w:val="nil"/>
                    <w:tr2bl w:val="nil"/>
                  </w:tcBorders>
                  <w:noWrap w:val="0"/>
                  <w:vAlign w:val="center"/>
                </w:tcPr>
                <w:p w14:paraId="0F1102C6">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《太湖地区城镇污水处理厂及重点工业行业主要水污染物排放限值》（DB 32/1072-2018）</w:t>
                  </w:r>
                </w:p>
              </w:tc>
              <w:tc>
                <w:tcPr>
                  <w:tcW w:w="602" w:type="pct"/>
                  <w:vMerge w:val="restart"/>
                  <w:tcBorders>
                    <w:tl2br w:val="nil"/>
                    <w:tr2bl w:val="nil"/>
                  </w:tcBorders>
                  <w:noWrap w:val="0"/>
                  <w:vAlign w:val="center"/>
                </w:tcPr>
                <w:p w14:paraId="410C1889">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表2</w:t>
                  </w:r>
                </w:p>
              </w:tc>
              <w:tc>
                <w:tcPr>
                  <w:tcW w:w="714" w:type="pct"/>
                  <w:tcBorders>
                    <w:tl2br w:val="nil"/>
                    <w:tr2bl w:val="nil"/>
                  </w:tcBorders>
                  <w:noWrap w:val="0"/>
                  <w:vAlign w:val="center"/>
                </w:tcPr>
                <w:p w14:paraId="71AAFB69">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850" w:type="pct"/>
                  <w:tcBorders>
                    <w:tl2br w:val="nil"/>
                    <w:tr2bl w:val="nil"/>
                  </w:tcBorders>
                  <w:noWrap w:val="0"/>
                  <w:vAlign w:val="center"/>
                </w:tcPr>
                <w:p w14:paraId="4251BEC5">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14:paraId="7499B0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vAlign w:val="top"/>
                </w:tcPr>
                <w:p w14:paraId="0D4DE39D">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vAlign w:val="top"/>
                </w:tcPr>
                <w:p w14:paraId="563F25CE">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vAlign w:val="top"/>
                </w:tcPr>
                <w:p w14:paraId="6222DD40">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vAlign w:val="center"/>
                </w:tcPr>
                <w:p w14:paraId="788D25AD">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850" w:type="pct"/>
                  <w:tcBorders>
                    <w:tl2br w:val="nil"/>
                    <w:tr2bl w:val="nil"/>
                  </w:tcBorders>
                  <w:noWrap w:val="0"/>
                  <w:vAlign w:val="center"/>
                </w:tcPr>
                <w:p w14:paraId="02DE4C93">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vertAlign w:val="superscript"/>
                      <w:lang w:val="en-US" w:eastAsia="zh-CN"/>
                    </w:rPr>
                    <w:t>①</w:t>
                  </w:r>
                </w:p>
              </w:tc>
            </w:tr>
            <w:tr w14:paraId="360CDC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vAlign w:val="top"/>
                </w:tcPr>
                <w:p w14:paraId="6D464708">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vAlign w:val="top"/>
                </w:tcPr>
                <w:p w14:paraId="2D6BB79C">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vAlign w:val="top"/>
                </w:tcPr>
                <w:p w14:paraId="3B3BA960">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vAlign w:val="center"/>
                </w:tcPr>
                <w:p w14:paraId="1E8935BF">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TP</w:t>
                  </w:r>
                </w:p>
              </w:tc>
              <w:tc>
                <w:tcPr>
                  <w:tcW w:w="850" w:type="pct"/>
                  <w:tcBorders>
                    <w:tl2br w:val="nil"/>
                    <w:tr2bl w:val="nil"/>
                  </w:tcBorders>
                  <w:noWrap w:val="0"/>
                  <w:vAlign w:val="center"/>
                </w:tcPr>
                <w:p w14:paraId="55F086A5">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14:paraId="555842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vAlign w:val="top"/>
                </w:tcPr>
                <w:p w14:paraId="14ED785F">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tcBorders>
                    <w:tl2br w:val="nil"/>
                    <w:tr2bl w:val="nil"/>
                  </w:tcBorders>
                  <w:noWrap w:val="0"/>
                  <w:vAlign w:val="top"/>
                </w:tcPr>
                <w:p w14:paraId="328855DC">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tcBorders>
                    <w:tl2br w:val="nil"/>
                    <w:tr2bl w:val="nil"/>
                  </w:tcBorders>
                  <w:noWrap w:val="0"/>
                  <w:vAlign w:val="top"/>
                </w:tcPr>
                <w:p w14:paraId="0F2AEE42">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tcBorders>
                    <w:tl2br w:val="nil"/>
                    <w:tr2bl w:val="nil"/>
                  </w:tcBorders>
                  <w:noWrap w:val="0"/>
                  <w:vAlign w:val="center"/>
                </w:tcPr>
                <w:p w14:paraId="61A8675A">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TN</w:t>
                  </w:r>
                </w:p>
              </w:tc>
              <w:tc>
                <w:tcPr>
                  <w:tcW w:w="850" w:type="pct"/>
                  <w:tcBorders>
                    <w:tl2br w:val="nil"/>
                    <w:tr2bl w:val="nil"/>
                  </w:tcBorders>
                  <w:noWrap w:val="0"/>
                  <w:vAlign w:val="center"/>
                </w:tcPr>
                <w:p w14:paraId="1801ABBF">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vertAlign w:val="superscript"/>
                      <w:lang w:val="en-US" w:eastAsia="zh-CN"/>
                    </w:rPr>
                    <w:t xml:space="preserve">① </w:t>
                  </w:r>
                </w:p>
              </w:tc>
            </w:tr>
            <w:tr w14:paraId="2395E6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tcBorders>
                    <w:tl2br w:val="nil"/>
                    <w:tr2bl w:val="nil"/>
                  </w:tcBorders>
                  <w:noWrap w:val="0"/>
                  <w:vAlign w:val="top"/>
                </w:tcPr>
                <w:p w14:paraId="5E9CF5BE">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restart"/>
                  <w:tcBorders>
                    <w:tl2br w:val="nil"/>
                    <w:tr2bl w:val="nil"/>
                  </w:tcBorders>
                  <w:noWrap w:val="0"/>
                  <w:vAlign w:val="center"/>
                </w:tcPr>
                <w:p w14:paraId="423A6E50">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《城镇污水处理厂污染物排放标准》（DB32/4440-2022）</w:t>
                  </w:r>
                </w:p>
                <w:p w14:paraId="26968E8C">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（2026年3月28日起施行）</w:t>
                  </w:r>
                </w:p>
              </w:tc>
              <w:tc>
                <w:tcPr>
                  <w:tcW w:w="602" w:type="pct"/>
                  <w:vMerge w:val="restart"/>
                  <w:tcBorders>
                    <w:tl2br w:val="nil"/>
                    <w:tr2bl w:val="nil"/>
                  </w:tcBorders>
                  <w:noWrap w:val="0"/>
                  <w:vAlign w:val="center"/>
                </w:tcPr>
                <w:p w14:paraId="7923AE0E">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表1C标准</w:t>
                  </w:r>
                </w:p>
              </w:tc>
              <w:tc>
                <w:tcPr>
                  <w:tcW w:w="714" w:type="pct"/>
                  <w:tcBorders>
                    <w:tl2br w:val="nil"/>
                    <w:tr2bl w:val="nil"/>
                  </w:tcBorders>
                  <w:noWrap w:val="0"/>
                  <w:vAlign w:val="center"/>
                </w:tcPr>
                <w:p w14:paraId="43236475">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pH</w:t>
                  </w:r>
                </w:p>
              </w:tc>
              <w:tc>
                <w:tcPr>
                  <w:tcW w:w="850" w:type="pct"/>
                  <w:tcBorders>
                    <w:tl2br w:val="nil"/>
                    <w:tr2bl w:val="nil"/>
                  </w:tcBorders>
                  <w:noWrap w:val="0"/>
                  <w:vAlign w:val="center"/>
                </w:tcPr>
                <w:p w14:paraId="23F8329A">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9</w:t>
                  </w:r>
                </w:p>
              </w:tc>
            </w:tr>
            <w:tr w14:paraId="44AFAD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noWrap w:val="0"/>
                  <w:vAlign w:val="top"/>
                </w:tcPr>
                <w:p w14:paraId="7FA6B4FE">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noWrap w:val="0"/>
                  <w:vAlign w:val="top"/>
                </w:tcPr>
                <w:p w14:paraId="19CB1F53">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noWrap w:val="0"/>
                  <w:vAlign w:val="top"/>
                </w:tcPr>
                <w:p w14:paraId="11E173DB">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noWrap w:val="0"/>
                  <w:vAlign w:val="center"/>
                </w:tcPr>
                <w:p w14:paraId="2AAFFE9F">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COD</w:t>
                  </w:r>
                </w:p>
              </w:tc>
              <w:tc>
                <w:tcPr>
                  <w:tcW w:w="850" w:type="pct"/>
                  <w:noWrap w:val="0"/>
                  <w:vAlign w:val="center"/>
                </w:tcPr>
                <w:p w14:paraId="13379C84">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50</w:t>
                  </w:r>
                </w:p>
              </w:tc>
            </w:tr>
            <w:tr w14:paraId="0F2169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noWrap w:val="0"/>
                  <w:vAlign w:val="top"/>
                </w:tcPr>
                <w:p w14:paraId="50BF1E22">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noWrap w:val="0"/>
                  <w:vAlign w:val="top"/>
                </w:tcPr>
                <w:p w14:paraId="1C264582">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noWrap w:val="0"/>
                  <w:vAlign w:val="top"/>
                </w:tcPr>
                <w:p w14:paraId="2C3AA1B6">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noWrap w:val="0"/>
                  <w:vAlign w:val="center"/>
                </w:tcPr>
                <w:p w14:paraId="31CC1B76">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SS</w:t>
                  </w:r>
                </w:p>
              </w:tc>
              <w:tc>
                <w:tcPr>
                  <w:tcW w:w="850" w:type="pct"/>
                  <w:noWrap w:val="0"/>
                  <w:vAlign w:val="center"/>
                </w:tcPr>
                <w:p w14:paraId="4C8019CE">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10</w:t>
                  </w:r>
                </w:p>
              </w:tc>
            </w:tr>
            <w:tr w14:paraId="44A686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noWrap w:val="0"/>
                  <w:vAlign w:val="top"/>
                </w:tcPr>
                <w:p w14:paraId="07B4DFF1">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noWrap w:val="0"/>
                  <w:vAlign w:val="top"/>
                </w:tcPr>
                <w:p w14:paraId="4794C9C2">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noWrap w:val="0"/>
                  <w:vAlign w:val="top"/>
                </w:tcPr>
                <w:p w14:paraId="6939C09D">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noWrap w:val="0"/>
                  <w:vAlign w:val="center"/>
                </w:tcPr>
                <w:p w14:paraId="69690372">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氨氮</w:t>
                  </w:r>
                </w:p>
              </w:tc>
              <w:tc>
                <w:tcPr>
                  <w:tcW w:w="850" w:type="pct"/>
                  <w:noWrap w:val="0"/>
                  <w:vAlign w:val="center"/>
                </w:tcPr>
                <w:p w14:paraId="2EEC0238">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4(6)</w:t>
                  </w:r>
                  <w:r>
                    <w:rPr>
                      <w:rFonts w:hint="default" w:ascii="Times New Roman" w:hAnsi="Times New Roman" w:eastAsia="宋体" w:cs="Times New Roman"/>
                      <w:color w:val="auto"/>
                      <w:sz w:val="21"/>
                      <w:szCs w:val="21"/>
                      <w:highlight w:val="none"/>
                      <w:vertAlign w:val="superscript"/>
                      <w:lang w:val="en-US" w:eastAsia="zh-CN"/>
                    </w:rPr>
                    <w:t>②</w:t>
                  </w:r>
                </w:p>
              </w:tc>
            </w:tr>
            <w:tr w14:paraId="5B53AE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noWrap w:val="0"/>
                  <w:vAlign w:val="top"/>
                </w:tcPr>
                <w:p w14:paraId="02DCBA43">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noWrap w:val="0"/>
                  <w:vAlign w:val="top"/>
                </w:tcPr>
                <w:p w14:paraId="2AA042AB">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noWrap w:val="0"/>
                  <w:vAlign w:val="top"/>
                </w:tcPr>
                <w:p w14:paraId="1B6738F4">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noWrap w:val="0"/>
                  <w:vAlign w:val="center"/>
                </w:tcPr>
                <w:p w14:paraId="7C2EF8B7">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TP</w:t>
                  </w:r>
                </w:p>
              </w:tc>
              <w:tc>
                <w:tcPr>
                  <w:tcW w:w="850" w:type="pct"/>
                  <w:noWrap w:val="0"/>
                  <w:vAlign w:val="center"/>
                </w:tcPr>
                <w:p w14:paraId="18D5DFAD">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0.5</w:t>
                  </w:r>
                </w:p>
              </w:tc>
            </w:tr>
            <w:tr w14:paraId="578967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713" w:type="pct"/>
                  <w:vMerge w:val="continue"/>
                  <w:noWrap w:val="0"/>
                  <w:vAlign w:val="top"/>
                </w:tcPr>
                <w:p w14:paraId="3798A780">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119" w:type="pct"/>
                  <w:vMerge w:val="continue"/>
                  <w:noWrap w:val="0"/>
                  <w:vAlign w:val="top"/>
                </w:tcPr>
                <w:p w14:paraId="2F323078">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02" w:type="pct"/>
                  <w:vMerge w:val="continue"/>
                  <w:noWrap w:val="0"/>
                  <w:vAlign w:val="top"/>
                </w:tcPr>
                <w:p w14:paraId="3E3AE721">
                  <w:pPr>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14" w:type="pct"/>
                  <w:noWrap w:val="0"/>
                  <w:vAlign w:val="center"/>
                </w:tcPr>
                <w:p w14:paraId="4FFAA748">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TN</w:t>
                  </w:r>
                </w:p>
              </w:tc>
              <w:tc>
                <w:tcPr>
                  <w:tcW w:w="850" w:type="pct"/>
                  <w:noWrap w:val="0"/>
                  <w:vAlign w:val="center"/>
                </w:tcPr>
                <w:p w14:paraId="586A2119">
                  <w:pPr>
                    <w:pStyle w:val="151"/>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12(15)</w:t>
                  </w:r>
                  <w:r>
                    <w:rPr>
                      <w:rFonts w:hint="default" w:ascii="Times New Roman" w:hAnsi="Times New Roman" w:eastAsia="宋体" w:cs="Times New Roman"/>
                      <w:color w:val="auto"/>
                      <w:sz w:val="21"/>
                      <w:szCs w:val="21"/>
                      <w:highlight w:val="none"/>
                      <w:vertAlign w:val="superscript"/>
                      <w:lang w:val="en-US" w:eastAsia="zh-CN"/>
                    </w:rPr>
                    <w:t>②</w:t>
                  </w:r>
                </w:p>
              </w:tc>
            </w:tr>
          </w:tbl>
          <w:p w14:paraId="36A13A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注：①括号外数值为水温＞12℃时的控制指标，括号内数值为水温≤12℃时的控制指标。</w:t>
            </w:r>
          </w:p>
          <w:p w14:paraId="3F492444">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②每年11月1日至次年3月31日执行括号内排放限值。</w:t>
            </w:r>
          </w:p>
          <w:p w14:paraId="3B1FF6A3">
            <w:pPr>
              <w:spacing w:line="360" w:lineRule="auto"/>
              <w:ind w:left="0" w:leftChars="0" w:firstLine="480"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冷却水</w:t>
            </w:r>
            <w:r>
              <w:rPr>
                <w:rFonts w:hint="default" w:ascii="Times New Roman" w:hAnsi="Times New Roman" w:eastAsia="宋体" w:cs="Times New Roman"/>
                <w:color w:val="auto"/>
                <w:sz w:val="24"/>
                <w:highlight w:val="none"/>
                <w:lang w:eastAsia="zh-CN"/>
              </w:rPr>
              <w:t>回用</w:t>
            </w:r>
            <w:r>
              <w:rPr>
                <w:rFonts w:hint="default" w:ascii="Times New Roman" w:hAnsi="Times New Roman" w:eastAsia="宋体" w:cs="Times New Roman"/>
                <w:color w:val="auto"/>
                <w:sz w:val="24"/>
                <w:highlight w:val="none"/>
              </w:rPr>
              <w:t>，</w:t>
            </w:r>
            <w:r>
              <w:rPr>
                <w:rFonts w:hint="eastAsia" w:cs="Times New Roman"/>
                <w:color w:val="auto"/>
                <w:sz w:val="24"/>
                <w:szCs w:val="24"/>
                <w:lang w:val="en-US" w:eastAsia="zh-CN"/>
              </w:rPr>
              <w:t>定期更换不外排</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回用水</w:t>
            </w:r>
            <w:r>
              <w:rPr>
                <w:rFonts w:hint="default" w:ascii="Times New Roman" w:hAnsi="Times New Roman" w:eastAsia="宋体" w:cs="Times New Roman"/>
                <w:color w:val="auto"/>
                <w:sz w:val="24"/>
                <w:highlight w:val="none"/>
              </w:rPr>
              <w:t>执行</w:t>
            </w:r>
            <w:r>
              <w:rPr>
                <w:rFonts w:hint="default" w:ascii="Times New Roman" w:hAnsi="Times New Roman" w:eastAsia="宋体" w:cs="Times New Roman"/>
                <w:color w:val="auto"/>
                <w:sz w:val="24"/>
                <w:highlight w:val="none"/>
                <w:lang w:val="en-US" w:eastAsia="zh-CN"/>
              </w:rPr>
              <w:t>《城市污水再生利用利用工业用水水质》（GB/T19923-2024）</w:t>
            </w:r>
            <w:r>
              <w:rPr>
                <w:rFonts w:hint="eastAsia" w:ascii="Times New Roman" w:hAnsi="Times New Roman" w:eastAsia="宋体" w:cs="Times New Roman"/>
                <w:color w:val="auto"/>
                <w:sz w:val="24"/>
                <w:highlight w:val="none"/>
                <w:lang w:val="en-US" w:eastAsia="zh-CN"/>
              </w:rPr>
              <w:t>中表1“直流冷却水”标准</w:t>
            </w:r>
            <w:r>
              <w:rPr>
                <w:rFonts w:hint="default" w:ascii="Times New Roman" w:hAnsi="Times New Roman" w:eastAsia="宋体" w:cs="Times New Roman"/>
                <w:color w:val="auto"/>
                <w:sz w:val="24"/>
                <w:highlight w:val="none"/>
              </w:rPr>
              <w:t>，限值要求见下表</w:t>
            </w:r>
            <w:r>
              <w:rPr>
                <w:rFonts w:hint="default" w:ascii="Times New Roman" w:hAnsi="Times New Roman" w:eastAsia="宋体" w:cs="Times New Roman"/>
                <w:color w:val="auto"/>
                <w:sz w:val="24"/>
                <w:highlight w:val="none"/>
                <w:lang w:eastAsia="zh-CN"/>
              </w:rPr>
              <w:t>。</w:t>
            </w:r>
          </w:p>
          <w:p w14:paraId="68BB1B5D">
            <w:pPr>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表3-</w:t>
            </w:r>
            <w:r>
              <w:rPr>
                <w:rFonts w:hint="default" w:ascii="Times New Roman" w:hAnsi="Times New Roman" w:eastAsia="宋体" w:cs="Times New Roman"/>
                <w:b/>
                <w:color w:val="auto"/>
                <w:sz w:val="21"/>
                <w:szCs w:val="21"/>
                <w:highlight w:val="none"/>
                <w:lang w:val="en-US" w:eastAsia="zh-CN"/>
              </w:rPr>
              <w:t>12</w:t>
            </w:r>
            <w:r>
              <w:rPr>
                <w:rFonts w:hint="default" w:ascii="Times New Roman" w:hAnsi="Times New Roman" w:eastAsia="宋体" w:cs="Times New Roman"/>
                <w:b/>
                <w:color w:val="auto"/>
                <w:sz w:val="21"/>
                <w:szCs w:val="21"/>
                <w:highlight w:val="none"/>
              </w:rPr>
              <w:t xml:space="preserve">  </w:t>
            </w:r>
            <w:r>
              <w:rPr>
                <w:rFonts w:hint="eastAsia" w:ascii="Times New Roman" w:hAnsi="Times New Roman" w:eastAsia="宋体" w:cs="Times New Roman"/>
                <w:b/>
                <w:color w:val="auto"/>
                <w:sz w:val="21"/>
                <w:szCs w:val="21"/>
                <w:highlight w:val="none"/>
                <w:lang w:val="en-US" w:eastAsia="zh-CN"/>
              </w:rPr>
              <w:t>冷却水</w:t>
            </w:r>
            <w:r>
              <w:rPr>
                <w:rFonts w:hint="default" w:ascii="Times New Roman" w:hAnsi="Times New Roman" w:eastAsia="宋体" w:cs="Times New Roman"/>
                <w:b/>
                <w:color w:val="auto"/>
                <w:sz w:val="21"/>
                <w:szCs w:val="21"/>
                <w:highlight w:val="none"/>
                <w:lang w:val="en-US" w:eastAsia="zh-CN"/>
              </w:rPr>
              <w:t>回用</w:t>
            </w:r>
            <w:r>
              <w:rPr>
                <w:rFonts w:hint="default" w:ascii="Times New Roman" w:hAnsi="Times New Roman" w:eastAsia="宋体" w:cs="Times New Roman"/>
                <w:b/>
                <w:color w:val="auto"/>
                <w:sz w:val="21"/>
                <w:szCs w:val="21"/>
                <w:highlight w:val="none"/>
              </w:rPr>
              <w:t>标准 （单位：mg/L</w:t>
            </w:r>
            <w:r>
              <w:rPr>
                <w:rFonts w:hint="default" w:ascii="Times New Roman" w:hAnsi="Times New Roman" w:eastAsia="宋体" w:cs="Times New Roman"/>
                <w:b/>
                <w:color w:val="auto"/>
                <w:sz w:val="21"/>
                <w:szCs w:val="21"/>
                <w:highlight w:val="none"/>
                <w:lang w:eastAsia="zh-CN"/>
              </w:rPr>
              <w:t>）</w:t>
            </w:r>
          </w:p>
          <w:tbl>
            <w:tblPr>
              <w:tblStyle w:val="4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50"/>
              <w:gridCol w:w="3002"/>
              <w:gridCol w:w="4733"/>
            </w:tblGrid>
            <w:tr w14:paraId="4796AB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835" w:type="pct"/>
                  <w:tcBorders>
                    <w:tl2br w:val="nil"/>
                    <w:tr2bl w:val="nil"/>
                  </w:tcBorders>
                  <w:tcMar>
                    <w:top w:w="0" w:type="dxa"/>
                    <w:left w:w="108" w:type="dxa"/>
                    <w:bottom w:w="0" w:type="dxa"/>
                    <w:right w:w="108" w:type="dxa"/>
                  </w:tcMar>
                  <w:vAlign w:val="center"/>
                </w:tcPr>
                <w:p w14:paraId="5ED5650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val="en-US" w:eastAsia="zh-CN"/>
                    </w:rPr>
                    <w:t>污染物</w:t>
                  </w:r>
                </w:p>
              </w:tc>
              <w:tc>
                <w:tcPr>
                  <w:tcW w:w="1616" w:type="pct"/>
                  <w:tcBorders>
                    <w:tl2br w:val="nil"/>
                    <w:tr2bl w:val="nil"/>
                  </w:tcBorders>
                  <w:tcMar>
                    <w:top w:w="0" w:type="dxa"/>
                    <w:left w:w="108" w:type="dxa"/>
                    <w:bottom w:w="0" w:type="dxa"/>
                    <w:right w:w="108" w:type="dxa"/>
                  </w:tcMar>
                  <w:vAlign w:val="center"/>
                </w:tcPr>
                <w:p w14:paraId="48E359B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val="en-US" w:eastAsia="zh-CN"/>
                    </w:rPr>
                    <w:t>浓度限值</w:t>
                  </w:r>
                </w:p>
              </w:tc>
              <w:tc>
                <w:tcPr>
                  <w:tcW w:w="2548" w:type="pct"/>
                  <w:tcBorders>
                    <w:tl2br w:val="nil"/>
                    <w:tr2bl w:val="nil"/>
                  </w:tcBorders>
                  <w:tcMar>
                    <w:top w:w="0" w:type="dxa"/>
                    <w:left w:w="108" w:type="dxa"/>
                    <w:bottom w:w="0" w:type="dxa"/>
                    <w:right w:w="108" w:type="dxa"/>
                  </w:tcMar>
                  <w:vAlign w:val="center"/>
                </w:tcPr>
                <w:p w14:paraId="5EE3641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val="en-US" w:eastAsia="zh-CN"/>
                    </w:rPr>
                    <w:t>标准来源</w:t>
                  </w:r>
                </w:p>
              </w:tc>
            </w:tr>
            <w:tr w14:paraId="56CC4D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0F4098F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w:t>
                  </w:r>
                </w:p>
              </w:tc>
              <w:tc>
                <w:tcPr>
                  <w:tcW w:w="1616" w:type="pct"/>
                  <w:tcBorders>
                    <w:tl2br w:val="nil"/>
                    <w:tr2bl w:val="nil"/>
                  </w:tcBorders>
                  <w:tcMar>
                    <w:top w:w="0" w:type="dxa"/>
                    <w:left w:w="108" w:type="dxa"/>
                    <w:bottom w:w="0" w:type="dxa"/>
                    <w:right w:w="108" w:type="dxa"/>
                  </w:tcMar>
                  <w:vAlign w:val="center"/>
                </w:tcPr>
                <w:p w14:paraId="3013FDC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~9.0（无量纲）</w:t>
                  </w:r>
                </w:p>
              </w:tc>
              <w:tc>
                <w:tcPr>
                  <w:tcW w:w="2548" w:type="pct"/>
                  <w:vMerge w:val="restart"/>
                  <w:tcBorders>
                    <w:tl2br w:val="nil"/>
                    <w:tr2bl w:val="nil"/>
                  </w:tcBorders>
                  <w:tcMar>
                    <w:top w:w="0" w:type="dxa"/>
                    <w:left w:w="108" w:type="dxa"/>
                    <w:bottom w:w="0" w:type="dxa"/>
                    <w:right w:w="108" w:type="dxa"/>
                  </w:tcMar>
                  <w:vAlign w:val="center"/>
                </w:tcPr>
                <w:p w14:paraId="0149699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《城市污水再生利用利用工业用水水质》（GB/T19923-2024）</w:t>
                  </w:r>
                </w:p>
              </w:tc>
            </w:tr>
            <w:tr w14:paraId="121291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717CF02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SS</w:t>
                  </w:r>
                </w:p>
              </w:tc>
              <w:tc>
                <w:tcPr>
                  <w:tcW w:w="1616" w:type="pct"/>
                  <w:tcBorders>
                    <w:tl2br w:val="nil"/>
                    <w:tr2bl w:val="nil"/>
                  </w:tcBorders>
                  <w:tcMar>
                    <w:top w:w="0" w:type="dxa"/>
                    <w:left w:w="108" w:type="dxa"/>
                    <w:bottom w:w="0" w:type="dxa"/>
                    <w:right w:w="108" w:type="dxa"/>
                  </w:tcMar>
                  <w:vAlign w:val="center"/>
                </w:tcPr>
                <w:p w14:paraId="34D3369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548" w:type="pct"/>
                  <w:vMerge w:val="continue"/>
                  <w:tcBorders>
                    <w:tl2br w:val="nil"/>
                    <w:tr2bl w:val="nil"/>
                  </w:tcBorders>
                  <w:tcMar>
                    <w:top w:w="0" w:type="dxa"/>
                    <w:left w:w="108" w:type="dxa"/>
                    <w:bottom w:w="0" w:type="dxa"/>
                    <w:right w:w="108" w:type="dxa"/>
                  </w:tcMar>
                  <w:vAlign w:val="center"/>
                </w:tcPr>
                <w:p w14:paraId="4A8D200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6DDDF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243CC42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w:t>
                  </w:r>
                </w:p>
              </w:tc>
              <w:tc>
                <w:tcPr>
                  <w:tcW w:w="1616" w:type="pct"/>
                  <w:tcBorders>
                    <w:tl2br w:val="nil"/>
                    <w:tr2bl w:val="nil"/>
                  </w:tcBorders>
                  <w:tcMar>
                    <w:top w:w="0" w:type="dxa"/>
                    <w:left w:w="108" w:type="dxa"/>
                    <w:bottom w:w="0" w:type="dxa"/>
                    <w:right w:w="108" w:type="dxa"/>
                  </w:tcMar>
                  <w:vAlign w:val="center"/>
                </w:tcPr>
                <w:p w14:paraId="40441B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2548" w:type="pct"/>
                  <w:vMerge w:val="continue"/>
                  <w:tcBorders>
                    <w:tl2br w:val="nil"/>
                    <w:tr2bl w:val="nil"/>
                  </w:tcBorders>
                  <w:tcMar>
                    <w:top w:w="0" w:type="dxa"/>
                    <w:left w:w="108" w:type="dxa"/>
                    <w:bottom w:w="0" w:type="dxa"/>
                    <w:right w:w="108" w:type="dxa"/>
                  </w:tcMar>
                  <w:vAlign w:val="center"/>
                </w:tcPr>
                <w:p w14:paraId="4920BA2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85A07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53426E0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氨氮</w:t>
                  </w:r>
                </w:p>
              </w:tc>
              <w:tc>
                <w:tcPr>
                  <w:tcW w:w="1616" w:type="pct"/>
                  <w:tcBorders>
                    <w:tl2br w:val="nil"/>
                    <w:tr2bl w:val="nil"/>
                  </w:tcBorders>
                  <w:tcMar>
                    <w:top w:w="0" w:type="dxa"/>
                    <w:left w:w="108" w:type="dxa"/>
                    <w:bottom w:w="0" w:type="dxa"/>
                    <w:right w:w="108" w:type="dxa"/>
                  </w:tcMar>
                  <w:vAlign w:val="center"/>
                </w:tcPr>
                <w:p w14:paraId="7CAA4A8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2548" w:type="pct"/>
                  <w:vMerge w:val="continue"/>
                  <w:tcBorders>
                    <w:tl2br w:val="nil"/>
                    <w:tr2bl w:val="nil"/>
                  </w:tcBorders>
                  <w:tcMar>
                    <w:top w:w="0" w:type="dxa"/>
                    <w:left w:w="108" w:type="dxa"/>
                    <w:bottom w:w="0" w:type="dxa"/>
                    <w:right w:w="108" w:type="dxa"/>
                  </w:tcMar>
                  <w:vAlign w:val="center"/>
                </w:tcPr>
                <w:p w14:paraId="24B2A89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D595D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010FA5E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总磷</w:t>
                  </w:r>
                </w:p>
              </w:tc>
              <w:tc>
                <w:tcPr>
                  <w:tcW w:w="1616" w:type="pct"/>
                  <w:tcBorders>
                    <w:tl2br w:val="nil"/>
                    <w:tr2bl w:val="nil"/>
                  </w:tcBorders>
                  <w:tcMar>
                    <w:top w:w="0" w:type="dxa"/>
                    <w:left w:w="108" w:type="dxa"/>
                    <w:bottom w:w="0" w:type="dxa"/>
                    <w:right w:w="108" w:type="dxa"/>
                  </w:tcMar>
                  <w:vAlign w:val="center"/>
                </w:tcPr>
                <w:p w14:paraId="08DA21C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2548" w:type="pct"/>
                  <w:vMerge w:val="continue"/>
                  <w:tcBorders>
                    <w:tl2br w:val="nil"/>
                    <w:tr2bl w:val="nil"/>
                  </w:tcBorders>
                  <w:tcMar>
                    <w:top w:w="0" w:type="dxa"/>
                    <w:left w:w="108" w:type="dxa"/>
                    <w:bottom w:w="0" w:type="dxa"/>
                    <w:right w:w="108" w:type="dxa"/>
                  </w:tcMar>
                  <w:vAlign w:val="center"/>
                </w:tcPr>
                <w:p w14:paraId="15B996D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5DC69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jc w:val="center"/>
              </w:trPr>
              <w:tc>
                <w:tcPr>
                  <w:tcW w:w="835" w:type="pct"/>
                  <w:tcBorders>
                    <w:tl2br w:val="nil"/>
                    <w:tr2bl w:val="nil"/>
                  </w:tcBorders>
                  <w:tcMar>
                    <w:top w:w="0" w:type="dxa"/>
                    <w:left w:w="108" w:type="dxa"/>
                    <w:bottom w:w="0" w:type="dxa"/>
                    <w:right w:w="108" w:type="dxa"/>
                  </w:tcMar>
                  <w:vAlign w:val="center"/>
                </w:tcPr>
                <w:p w14:paraId="17A18C5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1616" w:type="pct"/>
                  <w:tcBorders>
                    <w:tl2br w:val="nil"/>
                    <w:tr2bl w:val="nil"/>
                  </w:tcBorders>
                  <w:tcMar>
                    <w:top w:w="0" w:type="dxa"/>
                    <w:left w:w="108" w:type="dxa"/>
                    <w:bottom w:w="0" w:type="dxa"/>
                    <w:right w:w="108" w:type="dxa"/>
                  </w:tcMar>
                  <w:vAlign w:val="center"/>
                </w:tcPr>
                <w:p w14:paraId="49D1EF3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2548" w:type="pct"/>
                  <w:vMerge w:val="continue"/>
                  <w:tcBorders>
                    <w:tl2br w:val="nil"/>
                    <w:tr2bl w:val="nil"/>
                  </w:tcBorders>
                  <w:tcMar>
                    <w:top w:w="0" w:type="dxa"/>
                    <w:left w:w="108" w:type="dxa"/>
                    <w:bottom w:w="0" w:type="dxa"/>
                    <w:right w:w="108" w:type="dxa"/>
                  </w:tcMar>
                  <w:vAlign w:val="center"/>
                </w:tcPr>
                <w:p w14:paraId="3771CAC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bl>
          <w:p w14:paraId="1498E57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z w:val="21"/>
                <w:szCs w:val="21"/>
              </w:rPr>
            </w:pPr>
          </w:p>
          <w:p w14:paraId="288C4D12">
            <w:pPr>
              <w:tabs>
                <w:tab w:val="left" w:pos="6697"/>
              </w:tabs>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2.3噪声排放标准</w:t>
            </w:r>
          </w:p>
          <w:p w14:paraId="6E90D4F2">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项目厂界噪声排放执行《工业企业厂界环境噪声排放标准》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GB12348-2008</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表1中的3类标准具体限值见下表。</w:t>
            </w:r>
          </w:p>
          <w:p w14:paraId="5849C52E">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噪声排放标准限值</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3080"/>
              <w:gridCol w:w="1473"/>
              <w:gridCol w:w="879"/>
              <w:gridCol w:w="1404"/>
              <w:gridCol w:w="1295"/>
            </w:tblGrid>
            <w:tr w14:paraId="0C382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21" w:type="pct"/>
                  <w:vMerge w:val="restart"/>
                  <w:tcBorders>
                    <w:tl2br w:val="nil"/>
                    <w:tr2bl w:val="nil"/>
                  </w:tcBorders>
                  <w:noWrap w:val="0"/>
                  <w:vAlign w:val="center"/>
                </w:tcPr>
                <w:p w14:paraId="6B1992B6">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厂界名</w:t>
                  </w:r>
                </w:p>
              </w:tc>
              <w:tc>
                <w:tcPr>
                  <w:tcW w:w="1658" w:type="pct"/>
                  <w:vMerge w:val="restart"/>
                  <w:tcBorders>
                    <w:tl2br w:val="nil"/>
                    <w:tr2bl w:val="nil"/>
                  </w:tcBorders>
                  <w:noWrap w:val="0"/>
                  <w:vAlign w:val="center"/>
                </w:tcPr>
                <w:p w14:paraId="5E3DAD9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c>
                <w:tcPr>
                  <w:tcW w:w="793" w:type="pct"/>
                  <w:vMerge w:val="restart"/>
                  <w:tcBorders>
                    <w:tl2br w:val="nil"/>
                    <w:tr2bl w:val="nil"/>
                  </w:tcBorders>
                  <w:noWrap w:val="0"/>
                  <w:vAlign w:val="center"/>
                </w:tcPr>
                <w:p w14:paraId="7AFB6957">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级别</w:t>
                  </w:r>
                </w:p>
              </w:tc>
              <w:tc>
                <w:tcPr>
                  <w:tcW w:w="473" w:type="pct"/>
                  <w:vMerge w:val="restart"/>
                  <w:tcBorders>
                    <w:tl2br w:val="nil"/>
                    <w:tr2bl w:val="nil"/>
                  </w:tcBorders>
                  <w:noWrap w:val="0"/>
                  <w:vAlign w:val="center"/>
                </w:tcPr>
                <w:p w14:paraId="467C308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453" w:type="pct"/>
                  <w:gridSpan w:val="2"/>
                  <w:tcBorders>
                    <w:tl2br w:val="nil"/>
                    <w:tr2bl w:val="nil"/>
                  </w:tcBorders>
                  <w:noWrap w:val="0"/>
                  <w:vAlign w:val="center"/>
                </w:tcPr>
                <w:p w14:paraId="20DF4D9B">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r>
            <w:tr w14:paraId="367BA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21" w:type="pct"/>
                  <w:vMerge w:val="continue"/>
                  <w:tcBorders>
                    <w:tl2br w:val="nil"/>
                    <w:tr2bl w:val="nil"/>
                  </w:tcBorders>
                  <w:noWrap w:val="0"/>
                  <w:vAlign w:val="center"/>
                </w:tcPr>
                <w:p w14:paraId="4B04443C">
                  <w:pPr>
                    <w:spacing w:line="240" w:lineRule="auto"/>
                    <w:ind w:firstLine="0" w:firstLineChars="0"/>
                    <w:jc w:val="center"/>
                    <w:rPr>
                      <w:rFonts w:hint="default" w:ascii="Times New Roman" w:hAnsi="Times New Roman" w:eastAsia="宋体" w:cs="Times New Roman"/>
                      <w:b/>
                      <w:bCs/>
                      <w:color w:val="auto"/>
                      <w:sz w:val="21"/>
                      <w:szCs w:val="21"/>
                    </w:rPr>
                  </w:pPr>
                </w:p>
              </w:tc>
              <w:tc>
                <w:tcPr>
                  <w:tcW w:w="1658" w:type="pct"/>
                  <w:vMerge w:val="continue"/>
                  <w:tcBorders>
                    <w:tl2br w:val="nil"/>
                    <w:tr2bl w:val="nil"/>
                  </w:tcBorders>
                  <w:noWrap w:val="0"/>
                  <w:vAlign w:val="center"/>
                </w:tcPr>
                <w:p w14:paraId="7FE3D0DD">
                  <w:pPr>
                    <w:spacing w:line="240" w:lineRule="auto"/>
                    <w:ind w:firstLine="0" w:firstLineChars="0"/>
                    <w:jc w:val="center"/>
                    <w:rPr>
                      <w:rFonts w:hint="default" w:ascii="Times New Roman" w:hAnsi="Times New Roman" w:eastAsia="宋体" w:cs="Times New Roman"/>
                      <w:b/>
                      <w:bCs/>
                      <w:color w:val="auto"/>
                      <w:sz w:val="21"/>
                      <w:szCs w:val="21"/>
                    </w:rPr>
                  </w:pPr>
                </w:p>
              </w:tc>
              <w:tc>
                <w:tcPr>
                  <w:tcW w:w="793" w:type="pct"/>
                  <w:vMerge w:val="continue"/>
                  <w:tcBorders>
                    <w:tl2br w:val="nil"/>
                    <w:tr2bl w:val="nil"/>
                  </w:tcBorders>
                  <w:noWrap w:val="0"/>
                  <w:vAlign w:val="center"/>
                </w:tcPr>
                <w:p w14:paraId="15BDF202">
                  <w:pPr>
                    <w:spacing w:line="240" w:lineRule="auto"/>
                    <w:ind w:firstLine="0" w:firstLineChars="0"/>
                    <w:jc w:val="center"/>
                    <w:rPr>
                      <w:rFonts w:hint="default" w:ascii="Times New Roman" w:hAnsi="Times New Roman" w:eastAsia="宋体" w:cs="Times New Roman"/>
                      <w:b/>
                      <w:bCs/>
                      <w:color w:val="auto"/>
                      <w:sz w:val="21"/>
                      <w:szCs w:val="21"/>
                    </w:rPr>
                  </w:pPr>
                </w:p>
              </w:tc>
              <w:tc>
                <w:tcPr>
                  <w:tcW w:w="473" w:type="pct"/>
                  <w:vMerge w:val="continue"/>
                  <w:tcBorders>
                    <w:tl2br w:val="nil"/>
                    <w:tr2bl w:val="nil"/>
                  </w:tcBorders>
                  <w:noWrap w:val="0"/>
                  <w:vAlign w:val="center"/>
                </w:tcPr>
                <w:p w14:paraId="3FA11B48">
                  <w:pPr>
                    <w:spacing w:line="240" w:lineRule="auto"/>
                    <w:ind w:firstLine="0" w:firstLineChars="0"/>
                    <w:jc w:val="center"/>
                    <w:rPr>
                      <w:rFonts w:hint="default" w:ascii="Times New Roman" w:hAnsi="Times New Roman" w:eastAsia="宋体" w:cs="Times New Roman"/>
                      <w:b/>
                      <w:bCs/>
                      <w:color w:val="auto"/>
                      <w:sz w:val="21"/>
                      <w:szCs w:val="21"/>
                    </w:rPr>
                  </w:pPr>
                </w:p>
              </w:tc>
              <w:tc>
                <w:tcPr>
                  <w:tcW w:w="756" w:type="pct"/>
                  <w:tcBorders>
                    <w:tl2br w:val="nil"/>
                    <w:tr2bl w:val="nil"/>
                  </w:tcBorders>
                  <w:noWrap w:val="0"/>
                  <w:vAlign w:val="center"/>
                </w:tcPr>
                <w:p w14:paraId="0076B8D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昼间</w:t>
                  </w:r>
                </w:p>
              </w:tc>
              <w:tc>
                <w:tcPr>
                  <w:tcW w:w="697" w:type="pct"/>
                  <w:tcBorders>
                    <w:tl2br w:val="nil"/>
                    <w:tr2bl w:val="nil"/>
                  </w:tcBorders>
                  <w:noWrap w:val="0"/>
                  <w:vAlign w:val="center"/>
                </w:tcPr>
                <w:p w14:paraId="42B1757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夜间</w:t>
                  </w:r>
                </w:p>
              </w:tc>
            </w:tr>
            <w:tr w14:paraId="210E1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21" w:type="pct"/>
                  <w:tcBorders>
                    <w:tl2br w:val="nil"/>
                    <w:tr2bl w:val="nil"/>
                  </w:tcBorders>
                  <w:noWrap w:val="0"/>
                  <w:vAlign w:val="center"/>
                </w:tcPr>
                <w:p w14:paraId="71C1EC53">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项目各厂界</w:t>
                  </w:r>
                </w:p>
              </w:tc>
              <w:tc>
                <w:tcPr>
                  <w:tcW w:w="1658" w:type="pct"/>
                  <w:tcBorders>
                    <w:tl2br w:val="nil"/>
                    <w:tr2bl w:val="nil"/>
                  </w:tcBorders>
                  <w:noWrap w:val="0"/>
                  <w:vAlign w:val="center"/>
                </w:tcPr>
                <w:p w14:paraId="2BE8A0F1">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GB12348－2008)</w:t>
                  </w:r>
                </w:p>
              </w:tc>
              <w:tc>
                <w:tcPr>
                  <w:tcW w:w="793" w:type="pct"/>
                  <w:tcBorders>
                    <w:tl2br w:val="nil"/>
                    <w:tr2bl w:val="nil"/>
                  </w:tcBorders>
                  <w:noWrap w:val="0"/>
                  <w:vAlign w:val="center"/>
                </w:tcPr>
                <w:p w14:paraId="411CC11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表1中3类</w:t>
                  </w:r>
                </w:p>
              </w:tc>
              <w:tc>
                <w:tcPr>
                  <w:tcW w:w="473" w:type="pct"/>
                  <w:tcBorders>
                    <w:tl2br w:val="nil"/>
                    <w:tr2bl w:val="nil"/>
                  </w:tcBorders>
                  <w:noWrap w:val="0"/>
                  <w:vAlign w:val="center"/>
                </w:tcPr>
                <w:p w14:paraId="6692A1B2">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dB(A)</w:t>
                  </w:r>
                </w:p>
              </w:tc>
              <w:tc>
                <w:tcPr>
                  <w:tcW w:w="756" w:type="pct"/>
                  <w:tcBorders>
                    <w:tl2br w:val="nil"/>
                    <w:tr2bl w:val="nil"/>
                  </w:tcBorders>
                  <w:noWrap w:val="0"/>
                  <w:vAlign w:val="center"/>
                </w:tcPr>
                <w:p w14:paraId="2C3EDD4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65</w:t>
                  </w:r>
                </w:p>
              </w:tc>
              <w:tc>
                <w:tcPr>
                  <w:tcW w:w="697" w:type="pct"/>
                  <w:tcBorders>
                    <w:tl2br w:val="nil"/>
                    <w:tr2bl w:val="nil"/>
                  </w:tcBorders>
                  <w:noWrap w:val="0"/>
                  <w:vAlign w:val="center"/>
                </w:tcPr>
                <w:p w14:paraId="18D90713">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w:t>
                  </w:r>
                </w:p>
              </w:tc>
            </w:tr>
          </w:tbl>
          <w:p w14:paraId="1E271EB1">
            <w:pPr>
              <w:adjustRightInd w:val="0"/>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2.4固废污染控制标准</w:t>
            </w:r>
          </w:p>
          <w:p w14:paraId="2B00E1CD">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运营期产生的一般工业固废暂存场所的设置参照《一般工业固体废物贮存和填埋污染控制标准》（GB18599-2020）中相关规定执行。项目产生的危险废物在收集、贮存、运输过程中执行《危险废物贮存污染控制标准》（GB18597-2023）、《危险废物收集贮存运输技术规范》（HJ2025-2012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《危险废物识别标志设置技术规范》（HJ1276-2022）、《省生态环境厅关于做好</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危险废物贮存污染控制标准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等标准规范实施后危险废物环境管理衔接工作的通知》（苏环办</w:t>
            </w:r>
            <w:r>
              <w:rPr>
                <w:rFonts w:hint="default" w:ascii="Times New Roman" w:hAnsi="Times New Roman" w:eastAsia="宋体" w:cs="Times New Roman"/>
                <w:color w:val="auto"/>
                <w:sz w:val="24"/>
                <w:szCs w:val="24"/>
                <w:lang w:eastAsia="zh-CN"/>
              </w:rPr>
              <w:t>〔2023〕154号</w:t>
            </w:r>
            <w:r>
              <w:rPr>
                <w:rFonts w:hint="default" w:ascii="Times New Roman" w:hAnsi="Times New Roman" w:eastAsia="宋体" w:cs="Times New Roman"/>
                <w:color w:val="auto"/>
                <w:sz w:val="24"/>
                <w:szCs w:val="24"/>
              </w:rPr>
              <w:t>）、《江苏省固体废物全过程环境监管工作意见》（苏环办〔2024〕16号）中相关规定要求，进行危险废物的包装、贮存设施的选址、设计、运行、安全防护、监测和关闭等要求进行合理的贮存。</w:t>
            </w:r>
          </w:p>
          <w:p w14:paraId="45F2F86B">
            <w:pPr>
              <w:adjustRightInd w:val="0"/>
              <w:snapToGrid w:val="0"/>
              <w:ind w:firstLine="420"/>
              <w:rPr>
                <w:rFonts w:hint="default" w:ascii="Times New Roman" w:hAnsi="Times New Roman" w:eastAsia="宋体" w:cs="Times New Roman"/>
                <w:color w:val="auto"/>
                <w:sz w:val="24"/>
                <w:szCs w:val="24"/>
              </w:rPr>
            </w:pPr>
          </w:p>
          <w:p w14:paraId="5F75D4E1">
            <w:pPr>
              <w:adjustRightInd w:val="0"/>
              <w:snapToGrid w:val="0"/>
              <w:ind w:left="0" w:leftChars="0" w:firstLine="0" w:firstLineChars="0"/>
              <w:rPr>
                <w:rFonts w:hint="default" w:ascii="Times New Roman" w:hAnsi="Times New Roman" w:eastAsia="宋体" w:cs="Times New Roman"/>
                <w:color w:val="auto"/>
                <w:sz w:val="24"/>
                <w:szCs w:val="24"/>
              </w:rPr>
            </w:pPr>
          </w:p>
        </w:tc>
      </w:tr>
      <w:tr w14:paraId="28FD9B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27" w:hRule="atLeast"/>
          <w:jc w:val="center"/>
        </w:trPr>
        <w:tc>
          <w:tcPr>
            <w:tcW w:w="468" w:type="dxa"/>
            <w:noWrap w:val="0"/>
            <w:vAlign w:val="center"/>
          </w:tcPr>
          <w:p w14:paraId="0034AE82">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总量控制指标</w:t>
            </w:r>
          </w:p>
        </w:tc>
        <w:tc>
          <w:tcPr>
            <w:tcW w:w="9501" w:type="dxa"/>
            <w:noWrap w:val="0"/>
            <w:vAlign w:val="center"/>
          </w:tcPr>
          <w:p w14:paraId="1A7A120B">
            <w:pPr>
              <w:ind w:firstLine="0" w:firstLineChars="0"/>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1、总量控制因子</w:t>
            </w:r>
          </w:p>
          <w:p w14:paraId="5C15BC6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大气污染物总量控制因子：颗粒物、</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w:t>
            </w:r>
          </w:p>
          <w:p w14:paraId="5D35718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水污染物总量控制因子：COD、氨氮、TN、TP；考核因子：SS。</w:t>
            </w:r>
          </w:p>
          <w:p w14:paraId="6A096E0C">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2、总量控制指标</w:t>
            </w:r>
          </w:p>
          <w:p w14:paraId="2B81940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default"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本项目污染物排放总量控制指标表（单位：t/a）</w:t>
            </w:r>
          </w:p>
          <w:tbl>
            <w:tblPr>
              <w:tblStyle w:val="4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821"/>
              <w:gridCol w:w="1070"/>
              <w:gridCol w:w="1289"/>
              <w:gridCol w:w="1279"/>
              <w:gridCol w:w="1428"/>
              <w:gridCol w:w="1367"/>
              <w:gridCol w:w="1276"/>
            </w:tblGrid>
            <w:tr w14:paraId="73B37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3" w:type="pct"/>
                  <w:gridSpan w:val="3"/>
                  <w:vMerge w:val="restart"/>
                  <w:tcBorders>
                    <w:tl2br w:val="nil"/>
                    <w:tr2bl w:val="nil"/>
                  </w:tcBorders>
                  <w:noWrap w:val="0"/>
                  <w:vAlign w:val="center"/>
                </w:tcPr>
                <w:p w14:paraId="00632E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污染物名称</w:t>
                  </w:r>
                </w:p>
              </w:tc>
              <w:tc>
                <w:tcPr>
                  <w:tcW w:w="694" w:type="pct"/>
                  <w:vMerge w:val="restart"/>
                  <w:tcBorders>
                    <w:tl2br w:val="nil"/>
                    <w:tr2bl w:val="nil"/>
                  </w:tcBorders>
                  <w:noWrap w:val="0"/>
                  <w:vAlign w:val="center"/>
                </w:tcPr>
                <w:p w14:paraId="3F25C4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本项目产生量</w:t>
                  </w:r>
                </w:p>
              </w:tc>
              <w:tc>
                <w:tcPr>
                  <w:tcW w:w="689" w:type="pct"/>
                  <w:vMerge w:val="restart"/>
                  <w:tcBorders>
                    <w:tl2br w:val="nil"/>
                    <w:tr2bl w:val="nil"/>
                  </w:tcBorders>
                  <w:noWrap w:val="0"/>
                  <w:vAlign w:val="center"/>
                </w:tcPr>
                <w:p w14:paraId="6260C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本项目排放量</w:t>
                  </w:r>
                </w:p>
              </w:tc>
              <w:tc>
                <w:tcPr>
                  <w:tcW w:w="1505" w:type="pct"/>
                  <w:gridSpan w:val="2"/>
                  <w:tcBorders>
                    <w:tl2br w:val="nil"/>
                    <w:tr2bl w:val="nil"/>
                  </w:tcBorders>
                  <w:noWrap w:val="0"/>
                  <w:vAlign w:val="center"/>
                </w:tcPr>
                <w:p w14:paraId="3D327C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申请量</w:t>
                  </w:r>
                </w:p>
              </w:tc>
              <w:tc>
                <w:tcPr>
                  <w:tcW w:w="687" w:type="pct"/>
                  <w:vMerge w:val="restart"/>
                  <w:tcBorders>
                    <w:tl2br w:val="nil"/>
                    <w:tr2bl w:val="nil"/>
                  </w:tcBorders>
                  <w:noWrap w:val="0"/>
                  <w:vAlign w:val="center"/>
                </w:tcPr>
                <w:p w14:paraId="35D708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最终排入外环境量</w:t>
                  </w:r>
                </w:p>
              </w:tc>
            </w:tr>
            <w:tr w14:paraId="456DF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3" w:type="pct"/>
                  <w:gridSpan w:val="3"/>
                  <w:vMerge w:val="continue"/>
                  <w:tcBorders>
                    <w:tl2br w:val="nil"/>
                    <w:tr2bl w:val="nil"/>
                  </w:tcBorders>
                  <w:noWrap w:val="0"/>
                  <w:vAlign w:val="center"/>
                </w:tcPr>
                <w:p w14:paraId="330C98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p>
              </w:tc>
              <w:tc>
                <w:tcPr>
                  <w:tcW w:w="694" w:type="pct"/>
                  <w:vMerge w:val="continue"/>
                  <w:tcBorders>
                    <w:tl2br w:val="nil"/>
                    <w:tr2bl w:val="nil"/>
                  </w:tcBorders>
                  <w:noWrap w:val="0"/>
                  <w:vAlign w:val="center"/>
                </w:tcPr>
                <w:p w14:paraId="552CEF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p>
              </w:tc>
              <w:tc>
                <w:tcPr>
                  <w:tcW w:w="689" w:type="pct"/>
                  <w:vMerge w:val="continue"/>
                  <w:tcBorders>
                    <w:tl2br w:val="nil"/>
                    <w:tr2bl w:val="nil"/>
                  </w:tcBorders>
                  <w:noWrap w:val="0"/>
                  <w:vAlign w:val="center"/>
                </w:tcPr>
                <w:p w14:paraId="01B079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p>
              </w:tc>
              <w:tc>
                <w:tcPr>
                  <w:tcW w:w="769" w:type="pct"/>
                  <w:tcBorders>
                    <w:tl2br w:val="nil"/>
                    <w:tr2bl w:val="nil"/>
                  </w:tcBorders>
                  <w:noWrap w:val="0"/>
                  <w:vAlign w:val="center"/>
                </w:tcPr>
                <w:p w14:paraId="23C42F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控制因子</w:t>
                  </w:r>
                </w:p>
              </w:tc>
              <w:tc>
                <w:tcPr>
                  <w:tcW w:w="736" w:type="pct"/>
                  <w:tcBorders>
                    <w:tl2br w:val="nil"/>
                    <w:tr2bl w:val="nil"/>
                  </w:tcBorders>
                  <w:noWrap w:val="0"/>
                  <w:vAlign w:val="center"/>
                </w:tcPr>
                <w:p w14:paraId="71D940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考核因子</w:t>
                  </w:r>
                </w:p>
              </w:tc>
              <w:tc>
                <w:tcPr>
                  <w:tcW w:w="687" w:type="pct"/>
                  <w:vMerge w:val="continue"/>
                  <w:tcBorders>
                    <w:tl2br w:val="nil"/>
                    <w:tr2bl w:val="nil"/>
                  </w:tcBorders>
                  <w:noWrap w:val="0"/>
                  <w:vAlign w:val="center"/>
                </w:tcPr>
                <w:p w14:paraId="1691A7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r>
            <w:tr w14:paraId="196A2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restart"/>
                  <w:tcBorders>
                    <w:tl2br w:val="nil"/>
                    <w:tr2bl w:val="nil"/>
                  </w:tcBorders>
                  <w:noWrap w:val="0"/>
                  <w:vAlign w:val="center"/>
                </w:tcPr>
                <w:p w14:paraId="550AC4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生活污水</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lang w:val="en-US" w:eastAsia="zh-CN"/>
                    </w:rPr>
                    <w:t>生产废水</w:t>
                  </w:r>
                </w:p>
              </w:tc>
              <w:tc>
                <w:tcPr>
                  <w:tcW w:w="575" w:type="pct"/>
                  <w:tcBorders>
                    <w:tl2br w:val="nil"/>
                    <w:tr2bl w:val="nil"/>
                  </w:tcBorders>
                  <w:noWrap w:val="0"/>
                  <w:vAlign w:val="center"/>
                </w:tcPr>
                <w:p w14:paraId="36EC7D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水量</w:t>
                  </w:r>
                </w:p>
              </w:tc>
              <w:tc>
                <w:tcPr>
                  <w:tcW w:w="694" w:type="pct"/>
                  <w:tcBorders>
                    <w:tl2br w:val="nil"/>
                    <w:tr2bl w:val="nil"/>
                  </w:tcBorders>
                  <w:noWrap w:val="0"/>
                  <w:vAlign w:val="center"/>
                </w:tcPr>
                <w:p w14:paraId="259C08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216</w:t>
                  </w:r>
                </w:p>
              </w:tc>
              <w:tc>
                <w:tcPr>
                  <w:tcW w:w="689" w:type="pct"/>
                  <w:tcBorders>
                    <w:tl2br w:val="nil"/>
                    <w:tr2bl w:val="nil"/>
                  </w:tcBorders>
                  <w:noWrap w:val="0"/>
                  <w:vAlign w:val="center"/>
                </w:tcPr>
                <w:p w14:paraId="206E2D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216</w:t>
                  </w:r>
                </w:p>
              </w:tc>
              <w:tc>
                <w:tcPr>
                  <w:tcW w:w="769" w:type="pct"/>
                  <w:tcBorders>
                    <w:tl2br w:val="nil"/>
                    <w:tr2bl w:val="nil"/>
                  </w:tcBorders>
                  <w:noWrap w:val="0"/>
                  <w:vAlign w:val="center"/>
                </w:tcPr>
                <w:p w14:paraId="1BA425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216</w:t>
                  </w:r>
                </w:p>
              </w:tc>
              <w:tc>
                <w:tcPr>
                  <w:tcW w:w="736" w:type="pct"/>
                  <w:tcBorders>
                    <w:tl2br w:val="nil"/>
                    <w:tr2bl w:val="nil"/>
                  </w:tcBorders>
                  <w:noWrap w:val="0"/>
                  <w:vAlign w:val="center"/>
                </w:tcPr>
                <w:p w14:paraId="589EC1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87" w:type="pct"/>
                  <w:tcBorders>
                    <w:tl2br w:val="nil"/>
                    <w:tr2bl w:val="nil"/>
                  </w:tcBorders>
                  <w:noWrap w:val="0"/>
                  <w:vAlign w:val="center"/>
                </w:tcPr>
                <w:p w14:paraId="36A4F5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rPr>
                  </w:pPr>
                  <w:r>
                    <w:rPr>
                      <w:rFonts w:hint="eastAsia" w:cs="Times New Roman"/>
                      <w:color w:val="auto"/>
                      <w:kern w:val="0"/>
                      <w:sz w:val="21"/>
                      <w:szCs w:val="21"/>
                      <w:lang w:val="en-US" w:eastAsia="zh-CN"/>
                    </w:rPr>
                    <w:t>216</w:t>
                  </w:r>
                </w:p>
              </w:tc>
            </w:tr>
            <w:tr w14:paraId="70A57B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1CF5A6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14D7F2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COD</w:t>
                  </w:r>
                </w:p>
              </w:tc>
              <w:tc>
                <w:tcPr>
                  <w:tcW w:w="1289" w:type="dxa"/>
                  <w:tcBorders>
                    <w:tl2br w:val="nil"/>
                    <w:tr2bl w:val="nil"/>
                  </w:tcBorders>
                  <w:noWrap w:val="0"/>
                  <w:vAlign w:val="center"/>
                </w:tcPr>
                <w:p w14:paraId="0DCAF7C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279" w:type="dxa"/>
                  <w:tcBorders>
                    <w:tl2br w:val="nil"/>
                    <w:tr2bl w:val="nil"/>
                  </w:tcBorders>
                  <w:noWrap w:val="0"/>
                  <w:vAlign w:val="center"/>
                </w:tcPr>
                <w:p w14:paraId="597F29F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428" w:type="dxa"/>
                  <w:tcBorders>
                    <w:tl2br w:val="nil"/>
                    <w:tr2bl w:val="nil"/>
                  </w:tcBorders>
                  <w:noWrap w:val="0"/>
                  <w:vAlign w:val="center"/>
                </w:tcPr>
                <w:p w14:paraId="5315558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736" w:type="pct"/>
                  <w:tcBorders>
                    <w:tl2br w:val="nil"/>
                    <w:tr2bl w:val="nil"/>
                  </w:tcBorders>
                  <w:noWrap w:val="0"/>
                  <w:vAlign w:val="center"/>
                </w:tcPr>
                <w:p w14:paraId="27AE3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76" w:type="dxa"/>
                  <w:tcBorders>
                    <w:tl2br w:val="nil"/>
                    <w:tr2bl w:val="nil"/>
                  </w:tcBorders>
                  <w:noWrap w:val="0"/>
                  <w:vAlign w:val="center"/>
                </w:tcPr>
                <w:p w14:paraId="180E547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0.0108</w:t>
                  </w:r>
                </w:p>
              </w:tc>
            </w:tr>
            <w:tr w14:paraId="19FAB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274D7D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0749CC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SS</w:t>
                  </w:r>
                </w:p>
              </w:tc>
              <w:tc>
                <w:tcPr>
                  <w:tcW w:w="1289" w:type="dxa"/>
                  <w:tcBorders>
                    <w:tl2br w:val="nil"/>
                    <w:tr2bl w:val="nil"/>
                  </w:tcBorders>
                  <w:noWrap w:val="0"/>
                  <w:vAlign w:val="center"/>
                </w:tcPr>
                <w:p w14:paraId="5984509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279" w:type="dxa"/>
                  <w:tcBorders>
                    <w:tl2br w:val="nil"/>
                    <w:tr2bl w:val="nil"/>
                  </w:tcBorders>
                  <w:noWrap w:val="0"/>
                  <w:vAlign w:val="center"/>
                </w:tcPr>
                <w:p w14:paraId="5DEA8EA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428" w:type="dxa"/>
                  <w:tcBorders>
                    <w:tl2br w:val="nil"/>
                    <w:tr2bl w:val="nil"/>
                  </w:tcBorders>
                  <w:noWrap w:val="0"/>
                  <w:vAlign w:val="center"/>
                </w:tcPr>
                <w:p w14:paraId="770471C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736" w:type="pct"/>
                  <w:tcBorders>
                    <w:tl2br w:val="nil"/>
                    <w:tr2bl w:val="nil"/>
                  </w:tcBorders>
                  <w:noWrap w:val="0"/>
                  <w:vAlign w:val="center"/>
                </w:tcPr>
                <w:p w14:paraId="7EA2D2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276" w:type="dxa"/>
                  <w:tcBorders>
                    <w:tl2br w:val="nil"/>
                    <w:tr2bl w:val="nil"/>
                  </w:tcBorders>
                  <w:noWrap w:val="0"/>
                  <w:vAlign w:val="center"/>
                </w:tcPr>
                <w:p w14:paraId="42F3DEF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0.0021</w:t>
                  </w:r>
                </w:p>
              </w:tc>
            </w:tr>
            <w:tr w14:paraId="59ADB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745F0A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379D9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NH</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kern w:val="0"/>
                      <w:sz w:val="21"/>
                      <w:szCs w:val="21"/>
                    </w:rPr>
                    <w:t>-N</w:t>
                  </w:r>
                </w:p>
              </w:tc>
              <w:tc>
                <w:tcPr>
                  <w:tcW w:w="1289" w:type="dxa"/>
                  <w:tcBorders>
                    <w:tl2br w:val="nil"/>
                    <w:tr2bl w:val="nil"/>
                  </w:tcBorders>
                  <w:noWrap w:val="0"/>
                  <w:vAlign w:val="center"/>
                </w:tcPr>
                <w:p w14:paraId="163BEFB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279" w:type="dxa"/>
                  <w:tcBorders>
                    <w:tl2br w:val="nil"/>
                    <w:tr2bl w:val="nil"/>
                  </w:tcBorders>
                  <w:noWrap w:val="0"/>
                  <w:vAlign w:val="center"/>
                </w:tcPr>
                <w:p w14:paraId="297A184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428" w:type="dxa"/>
                  <w:tcBorders>
                    <w:tl2br w:val="nil"/>
                    <w:tr2bl w:val="nil"/>
                  </w:tcBorders>
                  <w:noWrap w:val="0"/>
                  <w:vAlign w:val="center"/>
                </w:tcPr>
                <w:p w14:paraId="11DF76B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736" w:type="pct"/>
                  <w:tcBorders>
                    <w:tl2br w:val="nil"/>
                    <w:tr2bl w:val="nil"/>
                  </w:tcBorders>
                  <w:noWrap w:val="0"/>
                  <w:vAlign w:val="center"/>
                </w:tcPr>
                <w:p w14:paraId="22BA8D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76" w:type="dxa"/>
                  <w:tcBorders>
                    <w:tl2br w:val="nil"/>
                    <w:tr2bl w:val="nil"/>
                  </w:tcBorders>
                  <w:noWrap w:val="0"/>
                  <w:vAlign w:val="center"/>
                </w:tcPr>
                <w:p w14:paraId="17CD722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0.0009</w:t>
                  </w:r>
                </w:p>
              </w:tc>
            </w:tr>
            <w:tr w14:paraId="5D462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2725FC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45E1DC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T</w:t>
                  </w:r>
                  <w:r>
                    <w:rPr>
                      <w:rFonts w:hint="default" w:ascii="Times New Roman" w:hAnsi="Times New Roman" w:eastAsia="宋体" w:cs="Times New Roman"/>
                      <w:color w:val="auto"/>
                      <w:kern w:val="0"/>
                      <w:sz w:val="21"/>
                      <w:szCs w:val="21"/>
                      <w:lang w:val="en-US" w:eastAsia="zh-CN"/>
                    </w:rPr>
                    <w:t>N</w:t>
                  </w:r>
                </w:p>
              </w:tc>
              <w:tc>
                <w:tcPr>
                  <w:tcW w:w="1289" w:type="dxa"/>
                  <w:tcBorders>
                    <w:tl2br w:val="nil"/>
                    <w:tr2bl w:val="nil"/>
                  </w:tcBorders>
                  <w:noWrap w:val="0"/>
                  <w:vAlign w:val="center"/>
                </w:tcPr>
                <w:p w14:paraId="22AA504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279" w:type="dxa"/>
                  <w:tcBorders>
                    <w:tl2br w:val="nil"/>
                    <w:tr2bl w:val="nil"/>
                  </w:tcBorders>
                  <w:noWrap w:val="0"/>
                  <w:vAlign w:val="center"/>
                </w:tcPr>
                <w:p w14:paraId="66E5268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428" w:type="dxa"/>
                  <w:tcBorders>
                    <w:tl2br w:val="nil"/>
                    <w:tr2bl w:val="nil"/>
                  </w:tcBorders>
                  <w:noWrap w:val="0"/>
                  <w:vAlign w:val="center"/>
                </w:tcPr>
                <w:p w14:paraId="2135C7E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736" w:type="pct"/>
                  <w:tcBorders>
                    <w:tl2br w:val="nil"/>
                    <w:tr2bl w:val="nil"/>
                  </w:tcBorders>
                  <w:noWrap w:val="0"/>
                  <w:vAlign w:val="center"/>
                </w:tcPr>
                <w:p w14:paraId="0A5FE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76" w:type="dxa"/>
                  <w:tcBorders>
                    <w:tl2br w:val="nil"/>
                    <w:tr2bl w:val="nil"/>
                  </w:tcBorders>
                  <w:noWrap w:val="0"/>
                  <w:vAlign w:val="center"/>
                </w:tcPr>
                <w:p w14:paraId="31C1829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0.002</w:t>
                  </w:r>
                  <w:r>
                    <w:rPr>
                      <w:rFonts w:hint="eastAsia" w:ascii="Times New Roman" w:hAnsi="Times New Roman" w:cs="Times New Roman"/>
                      <w:i w:val="0"/>
                      <w:iCs w:val="0"/>
                      <w:color w:val="auto"/>
                      <w:kern w:val="0"/>
                      <w:sz w:val="22"/>
                      <w:szCs w:val="22"/>
                      <w:u w:val="none"/>
                      <w:lang w:val="en-US" w:eastAsia="zh-CN" w:bidi="ar"/>
                    </w:rPr>
                    <w:t>6</w:t>
                  </w:r>
                </w:p>
              </w:tc>
            </w:tr>
            <w:tr w14:paraId="5DC38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7E2590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119D08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T</w:t>
                  </w:r>
                  <w:r>
                    <w:rPr>
                      <w:rFonts w:hint="default" w:ascii="Times New Roman" w:hAnsi="Times New Roman" w:eastAsia="宋体" w:cs="Times New Roman"/>
                      <w:color w:val="auto"/>
                      <w:kern w:val="0"/>
                      <w:sz w:val="21"/>
                      <w:szCs w:val="21"/>
                      <w:lang w:val="en-US" w:eastAsia="zh-CN"/>
                    </w:rPr>
                    <w:t>P</w:t>
                  </w:r>
                </w:p>
              </w:tc>
              <w:tc>
                <w:tcPr>
                  <w:tcW w:w="1289" w:type="dxa"/>
                  <w:tcBorders>
                    <w:tl2br w:val="nil"/>
                    <w:tr2bl w:val="nil"/>
                  </w:tcBorders>
                  <w:noWrap w:val="0"/>
                  <w:vAlign w:val="center"/>
                </w:tcPr>
                <w:p w14:paraId="6DDD20F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279" w:type="dxa"/>
                  <w:tcBorders>
                    <w:tl2br w:val="nil"/>
                    <w:tr2bl w:val="nil"/>
                  </w:tcBorders>
                  <w:noWrap w:val="0"/>
                  <w:vAlign w:val="center"/>
                </w:tcPr>
                <w:p w14:paraId="73940A8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428" w:type="dxa"/>
                  <w:tcBorders>
                    <w:tl2br w:val="nil"/>
                    <w:tr2bl w:val="nil"/>
                  </w:tcBorders>
                  <w:noWrap w:val="0"/>
                  <w:vAlign w:val="center"/>
                </w:tcPr>
                <w:p w14:paraId="4D02401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736" w:type="pct"/>
                  <w:tcBorders>
                    <w:tl2br w:val="nil"/>
                    <w:tr2bl w:val="nil"/>
                  </w:tcBorders>
                  <w:noWrap w:val="0"/>
                  <w:vAlign w:val="center"/>
                </w:tcPr>
                <w:p w14:paraId="1F007D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276" w:type="dxa"/>
                  <w:tcBorders>
                    <w:tl2br w:val="nil"/>
                    <w:tr2bl w:val="nil"/>
                  </w:tcBorders>
                  <w:noWrap w:val="0"/>
                  <w:vAlign w:val="center"/>
                </w:tcPr>
                <w:p w14:paraId="6873640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0.00001</w:t>
                  </w:r>
                </w:p>
              </w:tc>
            </w:tr>
            <w:tr w14:paraId="7E41D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pct"/>
                  <w:vMerge w:val="restart"/>
                  <w:tcBorders>
                    <w:tl2br w:val="nil"/>
                    <w:tr2bl w:val="nil"/>
                  </w:tcBorders>
                  <w:noWrap w:val="0"/>
                  <w:vAlign w:val="center"/>
                </w:tcPr>
                <w:p w14:paraId="79FC0C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大气污染物</w:t>
                  </w:r>
                </w:p>
              </w:tc>
              <w:tc>
                <w:tcPr>
                  <w:tcW w:w="442" w:type="pct"/>
                  <w:vMerge w:val="restart"/>
                  <w:tcBorders>
                    <w:tl2br w:val="nil"/>
                    <w:tr2bl w:val="nil"/>
                  </w:tcBorders>
                  <w:noWrap w:val="0"/>
                  <w:vAlign w:val="center"/>
                </w:tcPr>
                <w:p w14:paraId="04F30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有组织</w:t>
                  </w:r>
                </w:p>
              </w:tc>
              <w:tc>
                <w:tcPr>
                  <w:tcW w:w="575" w:type="pct"/>
                  <w:tcBorders>
                    <w:tl2br w:val="nil"/>
                    <w:tr2bl w:val="nil"/>
                  </w:tcBorders>
                  <w:noWrap w:val="0"/>
                  <w:vAlign w:val="center"/>
                </w:tcPr>
                <w:p w14:paraId="5B38B5E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非甲烷总烃</w:t>
                  </w:r>
                </w:p>
              </w:tc>
              <w:tc>
                <w:tcPr>
                  <w:tcW w:w="694" w:type="pct"/>
                  <w:tcBorders>
                    <w:tl2br w:val="nil"/>
                    <w:tr2bl w:val="nil"/>
                  </w:tcBorders>
                  <w:noWrap w:val="0"/>
                  <w:vAlign w:val="center"/>
                </w:tcPr>
                <w:p w14:paraId="73AEF8CD">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0.2</w:t>
                  </w:r>
                  <w:r>
                    <w:rPr>
                      <w:rFonts w:hint="eastAsia" w:cs="Times New Roman"/>
                      <w:bCs/>
                      <w:color w:val="auto"/>
                      <w:kern w:val="2"/>
                      <w:sz w:val="21"/>
                      <w:szCs w:val="21"/>
                      <w:lang w:val="en-US" w:eastAsia="zh-CN" w:bidi="ar-SA"/>
                    </w:rPr>
                    <w:t>5</w:t>
                  </w:r>
                </w:p>
              </w:tc>
              <w:tc>
                <w:tcPr>
                  <w:tcW w:w="689" w:type="pct"/>
                  <w:tcBorders>
                    <w:tl2br w:val="nil"/>
                    <w:tr2bl w:val="nil"/>
                  </w:tcBorders>
                  <w:noWrap w:val="0"/>
                  <w:vAlign w:val="center"/>
                </w:tcPr>
                <w:p w14:paraId="3F45CD33">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3</w:t>
                  </w:r>
                </w:p>
              </w:tc>
              <w:tc>
                <w:tcPr>
                  <w:tcW w:w="769" w:type="pct"/>
                  <w:tcBorders>
                    <w:tl2br w:val="nil"/>
                    <w:tr2bl w:val="nil"/>
                  </w:tcBorders>
                  <w:noWrap w:val="0"/>
                  <w:vAlign w:val="center"/>
                </w:tcPr>
                <w:p w14:paraId="40775D30">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3</w:t>
                  </w:r>
                </w:p>
              </w:tc>
              <w:tc>
                <w:tcPr>
                  <w:tcW w:w="736" w:type="pct"/>
                  <w:tcBorders>
                    <w:tl2br w:val="nil"/>
                    <w:tr2bl w:val="nil"/>
                  </w:tcBorders>
                  <w:noWrap w:val="0"/>
                  <w:vAlign w:val="center"/>
                </w:tcPr>
                <w:p w14:paraId="6B3BE7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87" w:type="pct"/>
                  <w:tcBorders>
                    <w:tl2br w:val="nil"/>
                    <w:tr2bl w:val="nil"/>
                  </w:tcBorders>
                  <w:noWrap w:val="0"/>
                  <w:vAlign w:val="center"/>
                </w:tcPr>
                <w:p w14:paraId="3DFED984">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3</w:t>
                  </w:r>
                </w:p>
              </w:tc>
            </w:tr>
            <w:tr w14:paraId="3B7E0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pct"/>
                  <w:vMerge w:val="continue"/>
                  <w:tcBorders>
                    <w:tl2br w:val="nil"/>
                    <w:tr2bl w:val="nil"/>
                  </w:tcBorders>
                  <w:noWrap w:val="0"/>
                  <w:vAlign w:val="center"/>
                </w:tcPr>
                <w:p w14:paraId="0A00F3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442" w:type="pct"/>
                  <w:vMerge w:val="continue"/>
                  <w:tcBorders>
                    <w:tl2br w:val="nil"/>
                    <w:tr2bl w:val="nil"/>
                  </w:tcBorders>
                  <w:noWrap w:val="0"/>
                  <w:vAlign w:val="center"/>
                </w:tcPr>
                <w:p w14:paraId="182E6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56AEFACB">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颗粒物</w:t>
                  </w:r>
                </w:p>
              </w:tc>
              <w:tc>
                <w:tcPr>
                  <w:tcW w:w="694" w:type="pct"/>
                  <w:tcBorders>
                    <w:tl2br w:val="nil"/>
                    <w:tr2bl w:val="nil"/>
                  </w:tcBorders>
                  <w:noWrap w:val="0"/>
                  <w:vAlign w:val="center"/>
                </w:tcPr>
                <w:p w14:paraId="63D14C7E">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0.86</w:t>
                  </w:r>
                </w:p>
              </w:tc>
              <w:tc>
                <w:tcPr>
                  <w:tcW w:w="689" w:type="pct"/>
                  <w:tcBorders>
                    <w:tl2br w:val="nil"/>
                    <w:tr2bl w:val="nil"/>
                  </w:tcBorders>
                  <w:noWrap w:val="0"/>
                  <w:vAlign w:val="center"/>
                </w:tcPr>
                <w:p w14:paraId="0FF5594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c>
                <w:tcPr>
                  <w:tcW w:w="769" w:type="pct"/>
                  <w:tcBorders>
                    <w:tl2br w:val="nil"/>
                    <w:tr2bl w:val="nil"/>
                  </w:tcBorders>
                  <w:noWrap w:val="0"/>
                  <w:vAlign w:val="center"/>
                </w:tcPr>
                <w:p w14:paraId="25673CAA">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c>
                <w:tcPr>
                  <w:tcW w:w="736" w:type="pct"/>
                  <w:tcBorders>
                    <w:tl2br w:val="nil"/>
                    <w:tr2bl w:val="nil"/>
                  </w:tcBorders>
                  <w:noWrap w:val="0"/>
                  <w:vAlign w:val="center"/>
                </w:tcPr>
                <w:p w14:paraId="0F67BE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1"/>
                      <w:szCs w:val="21"/>
                      <w:lang w:val="en-US" w:eastAsia="zh-CN"/>
                    </w:rPr>
                    <w:t>/</w:t>
                  </w:r>
                </w:p>
              </w:tc>
              <w:tc>
                <w:tcPr>
                  <w:tcW w:w="687" w:type="pct"/>
                  <w:tcBorders>
                    <w:tl2br w:val="nil"/>
                    <w:tr2bl w:val="nil"/>
                  </w:tcBorders>
                  <w:noWrap w:val="0"/>
                  <w:vAlign w:val="center"/>
                </w:tcPr>
                <w:p w14:paraId="12B11BBF">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r>
            <w:tr w14:paraId="061F7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pct"/>
                  <w:vMerge w:val="continue"/>
                  <w:tcBorders>
                    <w:tl2br w:val="nil"/>
                    <w:tr2bl w:val="nil"/>
                  </w:tcBorders>
                  <w:noWrap w:val="0"/>
                  <w:vAlign w:val="center"/>
                </w:tcPr>
                <w:p w14:paraId="04CB33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442" w:type="pct"/>
                  <w:vMerge w:val="restart"/>
                  <w:tcBorders>
                    <w:tl2br w:val="nil"/>
                    <w:tr2bl w:val="nil"/>
                  </w:tcBorders>
                  <w:noWrap w:val="0"/>
                  <w:vAlign w:val="center"/>
                </w:tcPr>
                <w:p w14:paraId="0C1491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无组织</w:t>
                  </w:r>
                </w:p>
              </w:tc>
              <w:tc>
                <w:tcPr>
                  <w:tcW w:w="575" w:type="pct"/>
                  <w:tcBorders>
                    <w:tl2br w:val="nil"/>
                    <w:tr2bl w:val="nil"/>
                  </w:tcBorders>
                  <w:noWrap w:val="0"/>
                  <w:vAlign w:val="center"/>
                </w:tcPr>
                <w:p w14:paraId="36D68179">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非甲烷总烃</w:t>
                  </w:r>
                </w:p>
              </w:tc>
              <w:tc>
                <w:tcPr>
                  <w:tcW w:w="694" w:type="pct"/>
                  <w:tcBorders>
                    <w:tl2br w:val="nil"/>
                    <w:tr2bl w:val="nil"/>
                  </w:tcBorders>
                  <w:noWrap w:val="0"/>
                  <w:vAlign w:val="center"/>
                </w:tcPr>
                <w:p w14:paraId="4769B0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0.02</w:t>
                  </w:r>
                </w:p>
              </w:tc>
              <w:tc>
                <w:tcPr>
                  <w:tcW w:w="689" w:type="pct"/>
                  <w:tcBorders>
                    <w:tl2br w:val="nil"/>
                    <w:tr2bl w:val="nil"/>
                  </w:tcBorders>
                  <w:noWrap w:val="0"/>
                  <w:vAlign w:val="center"/>
                </w:tcPr>
                <w:p w14:paraId="26A5D9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0.02</w:t>
                  </w:r>
                </w:p>
              </w:tc>
              <w:tc>
                <w:tcPr>
                  <w:tcW w:w="769" w:type="pct"/>
                  <w:tcBorders>
                    <w:tl2br w:val="nil"/>
                    <w:tr2bl w:val="nil"/>
                  </w:tcBorders>
                  <w:noWrap w:val="0"/>
                  <w:vAlign w:val="center"/>
                </w:tcPr>
                <w:p w14:paraId="0A0478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0.02</w:t>
                  </w:r>
                </w:p>
              </w:tc>
              <w:tc>
                <w:tcPr>
                  <w:tcW w:w="736" w:type="pct"/>
                  <w:tcBorders>
                    <w:tl2br w:val="nil"/>
                    <w:tr2bl w:val="nil"/>
                  </w:tcBorders>
                  <w:noWrap w:val="0"/>
                  <w:vAlign w:val="center"/>
                </w:tcPr>
                <w:p w14:paraId="097AEC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687" w:type="pct"/>
                  <w:tcBorders>
                    <w:tl2br w:val="nil"/>
                    <w:tr2bl w:val="nil"/>
                  </w:tcBorders>
                  <w:noWrap w:val="0"/>
                  <w:vAlign w:val="center"/>
                </w:tcPr>
                <w:p w14:paraId="4CD0E2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+0.02</w:t>
                  </w:r>
                </w:p>
              </w:tc>
            </w:tr>
            <w:tr w14:paraId="73B4DA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5" w:type="pct"/>
                  <w:vMerge w:val="continue"/>
                  <w:tcBorders>
                    <w:tl2br w:val="nil"/>
                    <w:tr2bl w:val="nil"/>
                  </w:tcBorders>
                  <w:noWrap w:val="0"/>
                  <w:vAlign w:val="center"/>
                </w:tcPr>
                <w:p w14:paraId="1E1143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442" w:type="pct"/>
                  <w:vMerge w:val="continue"/>
                  <w:tcBorders>
                    <w:tl2br w:val="nil"/>
                    <w:tr2bl w:val="nil"/>
                  </w:tcBorders>
                  <w:noWrap w:val="0"/>
                  <w:vAlign w:val="center"/>
                </w:tcPr>
                <w:p w14:paraId="6476D6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004A7A0B">
                  <w:pPr>
                    <w:keepNext w:val="0"/>
                    <w:keepLines w:val="0"/>
                    <w:pageBreakBefore w:val="0"/>
                    <w:widowControl w:val="0"/>
                    <w:kinsoku/>
                    <w:wordWrap/>
                    <w:overflowPunct/>
                    <w:topLinePunct w:val="0"/>
                    <w:autoSpaceDE/>
                    <w:autoSpaceDN/>
                    <w:bidi w:val="0"/>
                    <w:adjustRightInd/>
                    <w:snapToGrid/>
                    <w:spacing w:line="240" w:lineRule="auto"/>
                    <w:ind w:firstLine="0" w:firstLineChars="0"/>
                    <w:contextualSpacing/>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颗粒物</w:t>
                  </w:r>
                </w:p>
              </w:tc>
              <w:tc>
                <w:tcPr>
                  <w:tcW w:w="694" w:type="pct"/>
                  <w:tcBorders>
                    <w:tl2br w:val="nil"/>
                    <w:tr2bl w:val="nil"/>
                  </w:tcBorders>
                  <w:noWrap w:val="0"/>
                  <w:vAlign w:val="center"/>
                </w:tcPr>
                <w:p w14:paraId="5F865C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0.06</w:t>
                  </w:r>
                </w:p>
              </w:tc>
              <w:tc>
                <w:tcPr>
                  <w:tcW w:w="689" w:type="pct"/>
                  <w:tcBorders>
                    <w:tl2br w:val="nil"/>
                    <w:tr2bl w:val="nil"/>
                  </w:tcBorders>
                  <w:noWrap w:val="0"/>
                  <w:vAlign w:val="center"/>
                </w:tcPr>
                <w:p w14:paraId="19C1D9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0.06</w:t>
                  </w:r>
                </w:p>
              </w:tc>
              <w:tc>
                <w:tcPr>
                  <w:tcW w:w="769" w:type="pct"/>
                  <w:tcBorders>
                    <w:tl2br w:val="nil"/>
                    <w:tr2bl w:val="nil"/>
                  </w:tcBorders>
                  <w:noWrap w:val="0"/>
                  <w:vAlign w:val="center"/>
                </w:tcPr>
                <w:p w14:paraId="0DB60F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0.06</w:t>
                  </w:r>
                </w:p>
              </w:tc>
              <w:tc>
                <w:tcPr>
                  <w:tcW w:w="736" w:type="pct"/>
                  <w:tcBorders>
                    <w:tl2br w:val="nil"/>
                    <w:tr2bl w:val="nil"/>
                  </w:tcBorders>
                  <w:noWrap w:val="0"/>
                  <w:vAlign w:val="center"/>
                </w:tcPr>
                <w:p w14:paraId="27F5F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687" w:type="pct"/>
                  <w:tcBorders>
                    <w:tl2br w:val="nil"/>
                    <w:tr2bl w:val="nil"/>
                  </w:tcBorders>
                  <w:noWrap w:val="0"/>
                  <w:vAlign w:val="center"/>
                </w:tcPr>
                <w:p w14:paraId="71094A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w:t>
                  </w:r>
                  <w:r>
                    <w:rPr>
                      <w:rFonts w:hint="eastAsia" w:cs="Times New Roman"/>
                      <w:bCs/>
                      <w:color w:val="auto"/>
                      <w:kern w:val="2"/>
                      <w:sz w:val="21"/>
                      <w:szCs w:val="21"/>
                      <w:lang w:val="en-US" w:eastAsia="zh-CN" w:bidi="ar-SA"/>
                    </w:rPr>
                    <w:t>0.06</w:t>
                  </w:r>
                </w:p>
              </w:tc>
            </w:tr>
            <w:tr w14:paraId="2BEEB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restart"/>
                  <w:tcBorders>
                    <w:tl2br w:val="nil"/>
                    <w:tr2bl w:val="nil"/>
                  </w:tcBorders>
                  <w:noWrap w:val="0"/>
                  <w:vAlign w:val="center"/>
                </w:tcPr>
                <w:p w14:paraId="097EE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固废</w:t>
                  </w:r>
                </w:p>
              </w:tc>
              <w:tc>
                <w:tcPr>
                  <w:tcW w:w="575" w:type="pct"/>
                  <w:tcBorders>
                    <w:tl2br w:val="nil"/>
                    <w:tr2bl w:val="nil"/>
                  </w:tcBorders>
                  <w:noWrap w:val="0"/>
                  <w:vAlign w:val="center"/>
                </w:tcPr>
                <w:p w14:paraId="50F92A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危险固废</w:t>
                  </w:r>
                </w:p>
              </w:tc>
              <w:tc>
                <w:tcPr>
                  <w:tcW w:w="694" w:type="pct"/>
                  <w:tcBorders>
                    <w:tl2br w:val="nil"/>
                    <w:tr2bl w:val="nil"/>
                  </w:tcBorders>
                  <w:noWrap w:val="0"/>
                  <w:vAlign w:val="center"/>
                </w:tcPr>
                <w:p w14:paraId="00ABFF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9.5</w:t>
                  </w:r>
                </w:p>
              </w:tc>
              <w:tc>
                <w:tcPr>
                  <w:tcW w:w="689" w:type="pct"/>
                  <w:tcBorders>
                    <w:tl2br w:val="nil"/>
                    <w:tr2bl w:val="nil"/>
                  </w:tcBorders>
                  <w:noWrap w:val="0"/>
                  <w:vAlign w:val="center"/>
                </w:tcPr>
                <w:p w14:paraId="112638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69" w:type="pct"/>
                  <w:tcBorders>
                    <w:tl2br w:val="nil"/>
                    <w:tr2bl w:val="nil"/>
                  </w:tcBorders>
                  <w:noWrap w:val="0"/>
                  <w:vAlign w:val="center"/>
                </w:tcPr>
                <w:p w14:paraId="4CC76E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36" w:type="pct"/>
                  <w:tcBorders>
                    <w:tl2br w:val="nil"/>
                    <w:tr2bl w:val="nil"/>
                  </w:tcBorders>
                  <w:noWrap w:val="0"/>
                  <w:vAlign w:val="center"/>
                </w:tcPr>
                <w:p w14:paraId="0351F2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687" w:type="pct"/>
                  <w:tcBorders>
                    <w:tl2br w:val="nil"/>
                    <w:tr2bl w:val="nil"/>
                  </w:tcBorders>
                  <w:noWrap w:val="0"/>
                  <w:vAlign w:val="center"/>
                </w:tcPr>
                <w:p w14:paraId="37120B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48267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4B25B7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607819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一般固废</w:t>
                  </w:r>
                </w:p>
              </w:tc>
              <w:tc>
                <w:tcPr>
                  <w:tcW w:w="694" w:type="pct"/>
                  <w:tcBorders>
                    <w:tl2br w:val="nil"/>
                    <w:tr2bl w:val="nil"/>
                  </w:tcBorders>
                  <w:noWrap w:val="0"/>
                  <w:vAlign w:val="center"/>
                </w:tcPr>
                <w:p w14:paraId="7C1C60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11.22</w:t>
                  </w:r>
                </w:p>
              </w:tc>
              <w:tc>
                <w:tcPr>
                  <w:tcW w:w="689" w:type="pct"/>
                  <w:tcBorders>
                    <w:tl2br w:val="nil"/>
                    <w:tr2bl w:val="nil"/>
                  </w:tcBorders>
                  <w:noWrap w:val="0"/>
                  <w:vAlign w:val="center"/>
                </w:tcPr>
                <w:p w14:paraId="04386F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69" w:type="pct"/>
                  <w:tcBorders>
                    <w:tl2br w:val="nil"/>
                    <w:tr2bl w:val="nil"/>
                  </w:tcBorders>
                  <w:noWrap w:val="0"/>
                  <w:vAlign w:val="center"/>
                </w:tcPr>
                <w:p w14:paraId="40335B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36" w:type="pct"/>
                  <w:tcBorders>
                    <w:tl2br w:val="nil"/>
                    <w:tr2bl w:val="nil"/>
                  </w:tcBorders>
                  <w:noWrap w:val="0"/>
                  <w:vAlign w:val="center"/>
                </w:tcPr>
                <w:p w14:paraId="4B8DE7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687" w:type="pct"/>
                  <w:tcBorders>
                    <w:tl2br w:val="nil"/>
                    <w:tr2bl w:val="nil"/>
                  </w:tcBorders>
                  <w:noWrap w:val="0"/>
                  <w:vAlign w:val="center"/>
                </w:tcPr>
                <w:p w14:paraId="540ABD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r w14:paraId="29447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gridSpan w:val="2"/>
                  <w:vMerge w:val="continue"/>
                  <w:tcBorders>
                    <w:tl2br w:val="nil"/>
                    <w:tr2bl w:val="nil"/>
                  </w:tcBorders>
                  <w:noWrap w:val="0"/>
                  <w:vAlign w:val="center"/>
                </w:tcPr>
                <w:p w14:paraId="1452D4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p>
              </w:tc>
              <w:tc>
                <w:tcPr>
                  <w:tcW w:w="575" w:type="pct"/>
                  <w:tcBorders>
                    <w:tl2br w:val="nil"/>
                    <w:tr2bl w:val="nil"/>
                  </w:tcBorders>
                  <w:noWrap w:val="0"/>
                  <w:vAlign w:val="center"/>
                </w:tcPr>
                <w:p w14:paraId="750B22D4">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生活垃圾</w:t>
                  </w:r>
                </w:p>
              </w:tc>
              <w:tc>
                <w:tcPr>
                  <w:tcW w:w="694" w:type="pct"/>
                  <w:tcBorders>
                    <w:tl2br w:val="nil"/>
                    <w:tr2bl w:val="nil"/>
                  </w:tcBorders>
                  <w:noWrap w:val="0"/>
                  <w:vAlign w:val="center"/>
                </w:tcPr>
                <w:p w14:paraId="283677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1.2</w:t>
                  </w:r>
                </w:p>
              </w:tc>
              <w:tc>
                <w:tcPr>
                  <w:tcW w:w="689" w:type="pct"/>
                  <w:tcBorders>
                    <w:tl2br w:val="nil"/>
                    <w:tr2bl w:val="nil"/>
                  </w:tcBorders>
                  <w:noWrap w:val="0"/>
                  <w:vAlign w:val="center"/>
                </w:tcPr>
                <w:p w14:paraId="3532F5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69" w:type="pct"/>
                  <w:tcBorders>
                    <w:tl2br w:val="nil"/>
                    <w:tr2bl w:val="nil"/>
                  </w:tcBorders>
                  <w:noWrap w:val="0"/>
                  <w:vAlign w:val="center"/>
                </w:tcPr>
                <w:p w14:paraId="1E52E0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736" w:type="pct"/>
                  <w:tcBorders>
                    <w:tl2br w:val="nil"/>
                    <w:tr2bl w:val="nil"/>
                  </w:tcBorders>
                  <w:noWrap w:val="0"/>
                  <w:vAlign w:val="center"/>
                </w:tcPr>
                <w:p w14:paraId="2B1AD6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687" w:type="pct"/>
                  <w:tcBorders>
                    <w:tl2br w:val="nil"/>
                    <w:tr2bl w:val="nil"/>
                  </w:tcBorders>
                  <w:noWrap w:val="0"/>
                  <w:vAlign w:val="center"/>
                </w:tcPr>
                <w:p w14:paraId="668791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r>
          </w:tbl>
          <w:p w14:paraId="104ED74E">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3、总量平衡方案</w:t>
            </w:r>
          </w:p>
          <w:p w14:paraId="34D32A60">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（1）大气污染物</w:t>
            </w:r>
          </w:p>
          <w:p w14:paraId="0AF3BEAE">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废气：根据《常州市建设项目主要污染物排放总量指标审核及管理实施细则》（常政办发〔2015〕104号）规定：“新、改、扩建排放烟粉尘、挥发性有机物的项目，实行现役源2倍削减量替代或关闭类项目1.5倍削减量替代”。</w:t>
            </w:r>
          </w:p>
          <w:p w14:paraId="20B8641F">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大气污染物排放总量控制指标为：非甲烷总烃：0.04t/a（其中，有组织排放0.0</w:t>
            </w:r>
            <w:r>
              <w:rPr>
                <w:rFonts w:hint="eastAsia" w:cs="Times New Roman"/>
                <w:color w:val="auto"/>
                <w:sz w:val="24"/>
                <w:lang w:val="en-US" w:eastAsia="zh-CN"/>
              </w:rPr>
              <w:t>3</w:t>
            </w:r>
            <w:r>
              <w:rPr>
                <w:rFonts w:hint="default" w:ascii="Times New Roman" w:hAnsi="Times New Roman" w:eastAsia="宋体" w:cs="Times New Roman"/>
                <w:color w:val="auto"/>
                <w:sz w:val="24"/>
                <w:lang w:val="en-US" w:eastAsia="zh-CN"/>
              </w:rPr>
              <w:t>t/a、无组织排放0.02t/a），颗粒物：0.</w:t>
            </w:r>
            <w:r>
              <w:rPr>
                <w:rFonts w:hint="eastAsia" w:cs="Times New Roman"/>
                <w:color w:val="auto"/>
                <w:sz w:val="24"/>
                <w:lang w:val="en-US" w:eastAsia="zh-CN"/>
              </w:rPr>
              <w:t>10</w:t>
            </w:r>
            <w:r>
              <w:rPr>
                <w:rFonts w:hint="default" w:ascii="Times New Roman" w:hAnsi="Times New Roman" w:eastAsia="宋体" w:cs="Times New Roman"/>
                <w:color w:val="auto"/>
                <w:sz w:val="24"/>
                <w:lang w:val="en-US" w:eastAsia="zh-CN"/>
              </w:rPr>
              <w:t>t/a（其中，有组织排放0.0</w:t>
            </w:r>
            <w:r>
              <w:rPr>
                <w:rFonts w:hint="eastAsia" w:cs="Times New Roman"/>
                <w:color w:val="auto"/>
                <w:sz w:val="24"/>
                <w:lang w:val="en-US" w:eastAsia="zh-CN"/>
              </w:rPr>
              <w:t>4</w:t>
            </w:r>
            <w:r>
              <w:rPr>
                <w:rFonts w:hint="default" w:ascii="Times New Roman" w:hAnsi="Times New Roman" w:eastAsia="宋体" w:cs="Times New Roman"/>
                <w:color w:val="auto"/>
                <w:sz w:val="24"/>
                <w:lang w:val="en-US" w:eastAsia="zh-CN"/>
              </w:rPr>
              <w:t>t/a、无组织排放0.</w:t>
            </w:r>
            <w:r>
              <w:rPr>
                <w:rFonts w:hint="eastAsia" w:cs="Times New Roman"/>
                <w:color w:val="auto"/>
                <w:sz w:val="24"/>
                <w:lang w:val="en-US" w:eastAsia="zh-CN"/>
              </w:rPr>
              <w:t>06</w:t>
            </w:r>
            <w:r>
              <w:rPr>
                <w:rFonts w:hint="default" w:ascii="Times New Roman" w:hAnsi="Times New Roman" w:eastAsia="宋体" w:cs="Times New Roman"/>
                <w:color w:val="auto"/>
                <w:sz w:val="24"/>
                <w:lang w:val="en-US" w:eastAsia="zh-CN"/>
              </w:rPr>
              <w:t>t/a），故本项目需申请总量为：</w:t>
            </w:r>
            <w:r>
              <w:rPr>
                <w:rFonts w:hint="eastAsia" w:cs="Times New Roman"/>
                <w:color w:val="auto"/>
                <w:sz w:val="24"/>
                <w:lang w:val="en-US" w:eastAsia="zh-CN"/>
              </w:rPr>
              <w:t>非甲烷总烃</w:t>
            </w:r>
            <w:r>
              <w:rPr>
                <w:rFonts w:hint="default" w:ascii="Times New Roman" w:hAnsi="Times New Roman" w:eastAsia="宋体" w:cs="Times New Roman"/>
                <w:color w:val="auto"/>
                <w:sz w:val="24"/>
                <w:lang w:val="en-US" w:eastAsia="zh-CN"/>
              </w:rPr>
              <w:t>：0.0</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t/a、颗粒物：0.</w:t>
            </w:r>
            <w:r>
              <w:rPr>
                <w:rFonts w:hint="eastAsia" w:cs="Times New Roman"/>
                <w:color w:val="auto"/>
                <w:sz w:val="24"/>
                <w:lang w:val="en-US" w:eastAsia="zh-CN"/>
              </w:rPr>
              <w:t>10</w:t>
            </w:r>
            <w:r>
              <w:rPr>
                <w:rFonts w:hint="default" w:ascii="Times New Roman" w:hAnsi="Times New Roman" w:eastAsia="宋体" w:cs="Times New Roman"/>
                <w:color w:val="auto"/>
                <w:sz w:val="24"/>
                <w:lang w:val="en-US" w:eastAsia="zh-CN"/>
              </w:rPr>
              <w:t>t/a，拟在金坛区内进行平衡。</w:t>
            </w:r>
          </w:p>
          <w:p w14:paraId="071549FA">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（2）水污染物</w:t>
            </w:r>
          </w:p>
          <w:p w14:paraId="0FBB1E95">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本项目生活污水</w:t>
            </w:r>
            <w:r>
              <w:rPr>
                <w:rFonts w:hint="default" w:ascii="Times New Roman" w:hAnsi="Times New Roman" w:eastAsia="宋体" w:cs="Times New Roman"/>
                <w:bCs/>
                <w:color w:val="auto"/>
                <w:sz w:val="24"/>
                <w:lang w:val="en-US" w:eastAsia="zh-CN"/>
              </w:rPr>
              <w:t>接至儒林</w:t>
            </w:r>
            <w:r>
              <w:rPr>
                <w:rFonts w:hint="default" w:ascii="Times New Roman" w:hAnsi="Times New Roman" w:eastAsia="宋体" w:cs="Times New Roman"/>
                <w:color w:val="auto"/>
                <w:sz w:val="24"/>
                <w:lang w:val="en-US" w:eastAsia="zh-CN"/>
              </w:rPr>
              <w:t>污水厂集中处理。项目建成后全厂废水排放总量为</w:t>
            </w:r>
            <w:r>
              <w:rPr>
                <w:rFonts w:hint="eastAsia" w:cs="Times New Roman"/>
                <w:color w:val="auto"/>
                <w:sz w:val="24"/>
                <w:lang w:val="en-US" w:eastAsia="zh-CN"/>
              </w:rPr>
              <w:t>216</w:t>
            </w:r>
            <w:r>
              <w:rPr>
                <w:rFonts w:hint="default" w:ascii="Times New Roman" w:hAnsi="Times New Roman" w:eastAsia="宋体" w:cs="Times New Roman"/>
                <w:color w:val="auto"/>
                <w:sz w:val="24"/>
                <w:lang w:val="en-US" w:eastAsia="zh-CN"/>
              </w:rPr>
              <w:t>t/a，水污染物排放总量在常州金坛儒林污水处理厂内平衡。</w:t>
            </w:r>
          </w:p>
          <w:p w14:paraId="1A653C14">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（3）固体废弃物</w:t>
            </w:r>
          </w:p>
          <w:p w14:paraId="7AE9C1FB">
            <w:pPr>
              <w:adjustRightInd w:val="0"/>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本项目固体废弃物全部“零”排放，不会产生二次污染，故不申请总量。</w:t>
            </w:r>
          </w:p>
        </w:tc>
      </w:tr>
    </w:tbl>
    <w:p w14:paraId="0BFBD048">
      <w:pPr>
        <w:pStyle w:val="3"/>
        <w:rPr>
          <w:rFonts w:hint="default" w:ascii="Times New Roman" w:hAnsi="Times New Roman" w:eastAsia="宋体" w:cs="Times New Roman"/>
          <w:color w:val="auto"/>
        </w:rPr>
        <w:sectPr>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p w14:paraId="6E125606">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四、主要环境影响和保护措施</w:t>
      </w:r>
    </w:p>
    <w:tbl>
      <w:tblPr>
        <w:tblStyle w:val="44"/>
        <w:tblW w:w="992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466"/>
      </w:tblGrid>
      <w:tr w14:paraId="210A50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 w:type="pct"/>
            <w:noWrap w:val="0"/>
            <w:vAlign w:val="center"/>
          </w:tcPr>
          <w:p w14:paraId="68A937C6">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施工期环境保护措施</w:t>
            </w:r>
          </w:p>
        </w:tc>
        <w:tc>
          <w:tcPr>
            <w:tcW w:w="4802" w:type="pct"/>
            <w:noWrap w:val="0"/>
            <w:vAlign w:val="center"/>
          </w:tcPr>
          <w:p w14:paraId="65FD0082">
            <w:pPr>
              <w:ind w:firstLine="42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bCs/>
                <w:color w:val="auto"/>
                <w:sz w:val="24"/>
                <w:szCs w:val="24"/>
              </w:rPr>
              <w:t>施工期环境影响简要分析：</w:t>
            </w:r>
          </w:p>
          <w:p w14:paraId="6FD14D5E">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斐洋船舶配件（常州）有限公司</w:t>
            </w:r>
            <w:r>
              <w:rPr>
                <w:rFonts w:hint="default" w:ascii="Times New Roman" w:hAnsi="Times New Roman" w:eastAsia="宋体" w:cs="Times New Roman"/>
                <w:color w:val="auto"/>
                <w:sz w:val="24"/>
                <w:lang w:val="en-US" w:eastAsia="zh-CN"/>
              </w:rPr>
              <w:t>租赁现有空置厂房</w:t>
            </w:r>
            <w:r>
              <w:rPr>
                <w:rFonts w:hint="default" w:ascii="Times New Roman" w:hAnsi="Times New Roman" w:eastAsia="宋体" w:cs="Times New Roman"/>
                <w:color w:val="auto"/>
                <w:sz w:val="24"/>
              </w:rPr>
              <w:t>进行生产，施工期主要是在现有的生产车间内进行设备的安装和调试，不涉及厂房施工建设，所以无施工粉尘、噪声以及建筑垃圾产生。本项目施工期主要是运输设备的汽车进出产生少量的汽车尾气，不予考虑；管道敷设和设备安装产生的噪声，由于这些施工是在现有的生产车间内进行的，经过厂房的隔声后不会对附近产生噪声影响。</w:t>
            </w:r>
          </w:p>
          <w:p w14:paraId="2A08BB2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所以本项目的施工期过程简单，对周边环境影响较小。</w:t>
            </w:r>
          </w:p>
          <w:p w14:paraId="11AF8224">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以下就噪声及固废对环境的影响加以分析，并提出相应的防治措施。</w:t>
            </w:r>
          </w:p>
          <w:p w14:paraId="7F19E413">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施工期噪声影响分析及防治</w:t>
            </w:r>
          </w:p>
          <w:p w14:paraId="2271FACD">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由于安装设备一般于白天作业，应加强对设备安装的管理和操作人员的环境意识教育，严格控制设备运输及安装过程中噪声，降低对周围环境的噪声影响。</w:t>
            </w:r>
          </w:p>
          <w:p w14:paraId="75DC7FCB">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施工期固废影响分析及防治对策</w:t>
            </w:r>
          </w:p>
          <w:p w14:paraId="607F9C5B">
            <w:pPr>
              <w:ind w:firstLine="42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color w:val="auto"/>
                <w:sz w:val="24"/>
              </w:rPr>
              <w:t>设备安装期间产生的固废主要是设备包装材料以及废安装材料。安装设备过程中产生的废包装及废材料应及时集中收集处理，并及时清运，一般外卖至固废回收站，从而维护厂区的环境卫生，保证产品质量。装修期间及时清理现场的废弃物；同时加强对装修人员的教育，不随意乱丢废弃物，倡导文明和绿色施工。</w:t>
            </w:r>
          </w:p>
          <w:p w14:paraId="1B2A0C17">
            <w:pPr>
              <w:ind w:firstLine="420"/>
              <w:rPr>
                <w:rFonts w:hint="default" w:ascii="Times New Roman" w:hAnsi="Times New Roman" w:eastAsia="宋体" w:cs="Times New Roman"/>
                <w:b w:val="0"/>
                <w:bCs w:val="0"/>
                <w:color w:val="auto"/>
                <w:sz w:val="24"/>
                <w:szCs w:val="24"/>
              </w:rPr>
            </w:pPr>
          </w:p>
        </w:tc>
      </w:tr>
      <w:tr w14:paraId="7EBD2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80" w:hRule="atLeast"/>
          <w:jc w:val="center"/>
        </w:trPr>
        <w:tc>
          <w:tcPr>
            <w:tcW w:w="197" w:type="pct"/>
            <w:noWrap w:val="0"/>
            <w:vAlign w:val="center"/>
          </w:tcPr>
          <w:p w14:paraId="776FF16C">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运营期环境影响和保护措施</w:t>
            </w:r>
          </w:p>
        </w:tc>
        <w:tc>
          <w:tcPr>
            <w:tcW w:w="4802" w:type="pct"/>
            <w:noWrap w:val="0"/>
            <w:vAlign w:val="center"/>
          </w:tcPr>
          <w:p w14:paraId="18C87EC6">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1、废污水</w:t>
            </w:r>
          </w:p>
          <w:p w14:paraId="64DB5F7D">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1.1废污水源强核算</w:t>
            </w:r>
          </w:p>
          <w:p w14:paraId="27A4164B">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1.1.1源强核算过程</w:t>
            </w:r>
          </w:p>
          <w:p w14:paraId="5C6225D1">
            <w:pPr>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本项目用水排水环节</w:t>
            </w:r>
            <w:r>
              <w:rPr>
                <w:rFonts w:hint="default" w:ascii="Times New Roman" w:hAnsi="Times New Roman" w:eastAsia="宋体" w:cs="Times New Roman"/>
                <w:color w:val="auto"/>
                <w:sz w:val="24"/>
                <w:szCs w:val="24"/>
                <w:lang w:val="en-US" w:eastAsia="zh-CN"/>
              </w:rPr>
              <w:t>包括</w:t>
            </w:r>
            <w:r>
              <w:rPr>
                <w:rFonts w:hint="default" w:ascii="Times New Roman" w:hAnsi="Times New Roman" w:eastAsia="宋体" w:cs="Times New Roman"/>
                <w:color w:val="auto"/>
                <w:sz w:val="24"/>
                <w:szCs w:val="24"/>
              </w:rPr>
              <w:t>办公生活、</w:t>
            </w:r>
            <w:r>
              <w:rPr>
                <w:rFonts w:hint="default" w:ascii="Times New Roman" w:hAnsi="Times New Roman" w:eastAsia="宋体" w:cs="Times New Roman"/>
                <w:color w:val="auto"/>
                <w:sz w:val="24"/>
                <w:szCs w:val="24"/>
                <w:lang w:val="en-US" w:eastAsia="zh-CN"/>
              </w:rPr>
              <w:t>冷却</w:t>
            </w:r>
            <w:r>
              <w:rPr>
                <w:rFonts w:hint="default" w:ascii="Times New Roman" w:hAnsi="Times New Roman" w:eastAsia="宋体" w:cs="Times New Roman"/>
                <w:color w:val="auto"/>
                <w:sz w:val="24"/>
                <w:szCs w:val="24"/>
              </w:rPr>
              <w:t>。</w:t>
            </w:r>
          </w:p>
          <w:p w14:paraId="25AE222C">
            <w:pPr>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生活用水及排水</w:t>
            </w:r>
          </w:p>
          <w:p w14:paraId="6EBDB230">
            <w:pPr>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本项目劳动定员</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人，年工作</w:t>
            </w:r>
            <w:r>
              <w:rPr>
                <w:rFonts w:hint="default" w:ascii="Times New Roman" w:hAnsi="Times New Roman" w:eastAsia="宋体" w:cs="Times New Roman"/>
                <w:color w:val="auto"/>
                <w:sz w:val="24"/>
                <w:szCs w:val="24"/>
                <w:lang w:val="en-US" w:eastAsia="zh-CN"/>
              </w:rPr>
              <w:t>30</w:t>
            </w:r>
            <w:r>
              <w:rPr>
                <w:rFonts w:hint="default" w:ascii="Times New Roman" w:hAnsi="Times New Roman" w:eastAsia="宋体" w:cs="Times New Roman"/>
                <w:color w:val="auto"/>
                <w:sz w:val="24"/>
                <w:szCs w:val="24"/>
              </w:rPr>
              <w:t>0天，根据《建筑给水排水设计标准》（GB50015-2019），生活用水定额按1</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rPr>
              <w:t>0L/（人·日），日常生活用水量为</w:t>
            </w:r>
            <w:r>
              <w:rPr>
                <w:rFonts w:hint="default" w:ascii="Times New Roman" w:hAnsi="Times New Roman" w:eastAsia="宋体" w:cs="Times New Roman"/>
                <w:color w:val="auto"/>
                <w:sz w:val="24"/>
                <w:szCs w:val="24"/>
                <w:lang w:val="en-US" w:eastAsia="zh-CN"/>
              </w:rPr>
              <w:t>240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/a。生活污水产生量按用水量的</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0%计，生活污水量为</w:t>
            </w:r>
            <w:r>
              <w:rPr>
                <w:rFonts w:hint="eastAsia" w:cs="Times New Roman"/>
                <w:color w:val="auto"/>
                <w:sz w:val="24"/>
                <w:szCs w:val="24"/>
                <w:lang w:val="en-US" w:eastAsia="zh-CN"/>
              </w:rPr>
              <w:t>216</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/a。主要污染物为COD、SS、氨氮、TN、TP</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产生浓度分别为</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00mg/L、</w:t>
            </w:r>
            <w:r>
              <w:rPr>
                <w:rFonts w:hint="default"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0mg/L、</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mg/L、</w:t>
            </w:r>
            <w:r>
              <w:rPr>
                <w:rFonts w:hint="default" w:ascii="Times New Roman" w:hAnsi="Times New Roman" w:eastAsia="宋体" w:cs="Times New Roman"/>
                <w:color w:val="auto"/>
                <w:sz w:val="24"/>
                <w:szCs w:val="24"/>
                <w:lang w:val="en-US" w:eastAsia="zh-CN"/>
              </w:rPr>
              <w:t>35</w:t>
            </w:r>
            <w:r>
              <w:rPr>
                <w:rFonts w:hint="default" w:ascii="Times New Roman" w:hAnsi="Times New Roman" w:eastAsia="宋体" w:cs="Times New Roman"/>
                <w:color w:val="auto"/>
                <w:sz w:val="24"/>
                <w:szCs w:val="24"/>
              </w:rPr>
              <w:t>mg/L、</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mg/L。</w:t>
            </w:r>
          </w:p>
          <w:p w14:paraId="277F1BFB">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（2）冷却</w:t>
            </w:r>
            <w:r>
              <w:rPr>
                <w:rFonts w:hint="default" w:ascii="Times New Roman" w:hAnsi="Times New Roman" w:eastAsia="宋体" w:cs="Times New Roman"/>
                <w:color w:val="auto"/>
                <w:sz w:val="24"/>
                <w:szCs w:val="24"/>
              </w:rPr>
              <w:t>用水</w:t>
            </w:r>
          </w:p>
          <w:p w14:paraId="1F7D6854">
            <w:pPr>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本项目产品冷却工段物料需</w:t>
            </w:r>
            <w:r>
              <w:rPr>
                <w:rFonts w:hint="eastAsia" w:cs="Times New Roman"/>
                <w:color w:val="auto"/>
                <w:sz w:val="24"/>
                <w:szCs w:val="24"/>
                <w:lang w:val="en-US" w:eastAsia="zh-CN"/>
              </w:rPr>
              <w:t>通过</w:t>
            </w:r>
            <w:r>
              <w:rPr>
                <w:rFonts w:hint="default" w:ascii="Times New Roman" w:hAnsi="Times New Roman" w:eastAsia="宋体" w:cs="Times New Roman"/>
                <w:color w:val="auto"/>
                <w:sz w:val="24"/>
                <w:szCs w:val="24"/>
                <w:lang w:val="en-US" w:eastAsia="zh-CN"/>
              </w:rPr>
              <w:t>冷却水</w:t>
            </w:r>
            <w:r>
              <w:rPr>
                <w:rFonts w:hint="eastAsia" w:cs="Times New Roman"/>
                <w:color w:val="auto"/>
                <w:sz w:val="24"/>
                <w:szCs w:val="24"/>
                <w:lang w:val="en-US" w:eastAsia="zh-CN"/>
              </w:rPr>
              <w:t>喷淋</w:t>
            </w:r>
            <w:r>
              <w:rPr>
                <w:rFonts w:hint="default" w:ascii="Times New Roman" w:hAnsi="Times New Roman" w:eastAsia="宋体" w:cs="Times New Roman"/>
                <w:color w:val="auto"/>
                <w:sz w:val="24"/>
                <w:szCs w:val="24"/>
                <w:lang w:val="en-US" w:eastAsia="zh-CN"/>
              </w:rPr>
              <w:t>直接冷却，冷却机的设计能力0.25m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/h，冷却水在循环使用，蒸发损耗水定期添加，不外排</w:t>
            </w:r>
            <w:r>
              <w:rPr>
                <w:rFonts w:hint="eastAsia" w:cs="Times New Roman"/>
                <w:color w:val="auto"/>
                <w:sz w:val="24"/>
                <w:szCs w:val="24"/>
                <w:lang w:val="en-US" w:eastAsia="zh-CN"/>
              </w:rPr>
              <w:t>，更换产生的冷却废液作为危废委托有资质单位处置</w:t>
            </w:r>
            <w:r>
              <w:rPr>
                <w:rFonts w:hint="default" w:ascii="Times New Roman" w:hAnsi="Times New Roman" w:eastAsia="宋体" w:cs="Times New Roman"/>
                <w:color w:val="auto"/>
                <w:sz w:val="24"/>
                <w:szCs w:val="24"/>
                <w:lang w:val="en-US" w:eastAsia="zh-CN"/>
              </w:rPr>
              <w:t>。根据企业提供资料，预计本项目冷却用水12t/a</w:t>
            </w:r>
            <w:r>
              <w:rPr>
                <w:rFonts w:hint="eastAsia" w:cs="Times New Roman"/>
                <w:color w:val="auto"/>
                <w:sz w:val="24"/>
                <w:szCs w:val="24"/>
                <w:lang w:val="en-US" w:eastAsia="zh-CN"/>
              </w:rPr>
              <w:t>，产生冷却废液2t/a，作为危废委托有资质单位处置</w:t>
            </w:r>
            <w:r>
              <w:rPr>
                <w:rFonts w:hint="default" w:ascii="Times New Roman" w:hAnsi="Times New Roman" w:eastAsia="宋体" w:cs="Times New Roman"/>
                <w:color w:val="auto"/>
                <w:sz w:val="24"/>
                <w:szCs w:val="24"/>
                <w:lang w:val="en-US" w:eastAsia="zh-CN"/>
              </w:rPr>
              <w:t>。</w:t>
            </w:r>
          </w:p>
          <w:p w14:paraId="30048735">
            <w:pPr>
              <w:keepNext w:val="0"/>
              <w:keepLines w:val="0"/>
              <w:pageBreakBefore w:val="0"/>
              <w:widowControl w:val="0"/>
              <w:kinsoku/>
              <w:wordWrap/>
              <w:overflowPunct/>
              <w:topLinePunct w:val="0"/>
              <w:autoSpaceDE/>
              <w:autoSpaceDN/>
              <w:bidi w:val="0"/>
              <w:adjustRightInd/>
              <w:snapToGrid/>
              <w:ind w:firstLine="420"/>
              <w:textAlignment w:val="auto"/>
              <w:rPr>
                <w:rFonts w:hint="default" w:ascii="Times New Roman" w:hAnsi="Times New Roman" w:eastAsia="宋体" w:cs="Times New Roman"/>
                <w:color w:val="auto"/>
                <w:sz w:val="24"/>
                <w:szCs w:val="24"/>
                <w:lang w:val="en-US" w:eastAsia="zh-CN"/>
              </w:rPr>
            </w:pPr>
            <w:bookmarkStart w:id="4" w:name="_Hlk128086824"/>
            <w:r>
              <w:rPr>
                <w:rFonts w:hint="default" w:ascii="Times New Roman" w:hAnsi="Times New Roman" w:eastAsia="宋体" w:cs="Times New Roman"/>
                <w:color w:val="auto"/>
                <w:sz w:val="24"/>
                <w:szCs w:val="24"/>
              </w:rPr>
              <w:t>生产过程中，地面基本保持清洁，仅进行定期的扫地，不需地面清洗，不产生清洗废水。</w:t>
            </w:r>
            <w:r>
              <w:rPr>
                <w:rFonts w:hint="default" w:ascii="Times New Roman" w:hAnsi="Times New Roman" w:eastAsia="宋体" w:cs="Times New Roman"/>
                <w:color w:val="auto"/>
                <w:sz w:val="24"/>
                <w:szCs w:val="24"/>
                <w:lang w:val="en-US" w:eastAsia="zh-CN"/>
              </w:rPr>
              <w:t>企业物料运输及生产过程中均在厂房内进行，不涉及污染物跑冒滴漏现象，不需收集初期雨水。雨水排放口设置切断阀。</w:t>
            </w:r>
          </w:p>
          <w:bookmarkEnd w:id="4"/>
          <w:p w14:paraId="733C475D">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1.1.2废水产生情况汇总</w:t>
            </w:r>
          </w:p>
          <w:p w14:paraId="0B29434C">
            <w:pPr>
              <w:widowControl/>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本项目废水产生及治理情况一览表</w:t>
            </w:r>
          </w:p>
          <w:tbl>
            <w:tblPr>
              <w:tblStyle w:val="44"/>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607"/>
              <w:gridCol w:w="1164"/>
              <w:gridCol w:w="660"/>
              <w:gridCol w:w="835"/>
              <w:gridCol w:w="931"/>
              <w:gridCol w:w="487"/>
              <w:gridCol w:w="835"/>
              <w:gridCol w:w="899"/>
              <w:gridCol w:w="1746"/>
              <w:gridCol w:w="1086"/>
            </w:tblGrid>
            <w:tr w14:paraId="6519228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restart"/>
                  <w:noWrap w:val="0"/>
                  <w:vAlign w:val="center"/>
                </w:tcPr>
                <w:p w14:paraId="147AEC0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来源</w:t>
                  </w:r>
                </w:p>
              </w:tc>
              <w:tc>
                <w:tcPr>
                  <w:tcW w:w="0" w:type="auto"/>
                  <w:vMerge w:val="restart"/>
                  <w:noWrap w:val="0"/>
                  <w:vAlign w:val="center"/>
                </w:tcPr>
                <w:p w14:paraId="212C4D9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水量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/a</w:t>
                  </w:r>
                  <w:r>
                    <w:rPr>
                      <w:rFonts w:hint="default" w:ascii="Times New Roman" w:hAnsi="Times New Roman" w:eastAsia="宋体" w:cs="Times New Roman"/>
                      <w:b/>
                      <w:bCs/>
                      <w:color w:val="auto"/>
                      <w:sz w:val="21"/>
                      <w:szCs w:val="21"/>
                      <w:lang w:eastAsia="zh-CN"/>
                    </w:rPr>
                    <w:t>）</w:t>
                  </w:r>
                </w:p>
              </w:tc>
              <w:tc>
                <w:tcPr>
                  <w:tcW w:w="0" w:type="auto"/>
                  <w:vMerge w:val="restart"/>
                  <w:noWrap w:val="0"/>
                  <w:vAlign w:val="center"/>
                </w:tcPr>
                <w:p w14:paraId="1C201F83">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w:t>
                  </w:r>
                </w:p>
                <w:p w14:paraId="604F2A0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因子</w:t>
                  </w:r>
                </w:p>
              </w:tc>
              <w:tc>
                <w:tcPr>
                  <w:tcW w:w="1766" w:type="dxa"/>
                  <w:gridSpan w:val="2"/>
                  <w:noWrap w:val="0"/>
                  <w:vAlign w:val="center"/>
                </w:tcPr>
                <w:p w14:paraId="1F5E5B3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污染物产生量</w:t>
                  </w:r>
                </w:p>
              </w:tc>
              <w:tc>
                <w:tcPr>
                  <w:tcW w:w="487" w:type="dxa"/>
                  <w:vMerge w:val="restart"/>
                  <w:noWrap w:val="0"/>
                  <w:vAlign w:val="center"/>
                </w:tcPr>
                <w:p w14:paraId="0B8D202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w:t>
                  </w:r>
                </w:p>
                <w:p w14:paraId="0E5AA4F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措施</w:t>
                  </w:r>
                </w:p>
              </w:tc>
              <w:tc>
                <w:tcPr>
                  <w:tcW w:w="0" w:type="auto"/>
                  <w:gridSpan w:val="2"/>
                  <w:noWrap w:val="0"/>
                  <w:vAlign w:val="center"/>
                </w:tcPr>
                <w:p w14:paraId="6AC967D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污染物排放量</w:t>
                  </w:r>
                </w:p>
              </w:tc>
              <w:tc>
                <w:tcPr>
                  <w:tcW w:w="0" w:type="auto"/>
                  <w:vMerge w:val="restart"/>
                  <w:noWrap w:val="0"/>
                  <w:vAlign w:val="center"/>
                </w:tcPr>
                <w:p w14:paraId="3BCA4B9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接管标准浓度限值</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mg/L</w:t>
                  </w:r>
                  <w:r>
                    <w:rPr>
                      <w:rFonts w:hint="default" w:ascii="Times New Roman" w:hAnsi="Times New Roman" w:eastAsia="宋体" w:cs="Times New Roman"/>
                      <w:b/>
                      <w:bCs/>
                      <w:color w:val="auto"/>
                      <w:sz w:val="21"/>
                      <w:szCs w:val="21"/>
                      <w:lang w:eastAsia="zh-CN"/>
                    </w:rPr>
                    <w:t>）</w:t>
                  </w:r>
                </w:p>
              </w:tc>
              <w:tc>
                <w:tcPr>
                  <w:tcW w:w="0" w:type="auto"/>
                  <w:vMerge w:val="restart"/>
                  <w:noWrap w:val="0"/>
                  <w:vAlign w:val="center"/>
                </w:tcPr>
                <w:p w14:paraId="23843AF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w:t>
                  </w:r>
                </w:p>
                <w:p w14:paraId="31534D4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去向</w:t>
                  </w:r>
                </w:p>
              </w:tc>
            </w:tr>
            <w:tr w14:paraId="0E904B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23CA9F3E">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2D44652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7257E6AE">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2C78A3D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10602C4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(mg/L)</w:t>
                  </w:r>
                </w:p>
              </w:tc>
              <w:tc>
                <w:tcPr>
                  <w:tcW w:w="931" w:type="dxa"/>
                  <w:tcBorders>
                    <w:bottom w:val="single" w:color="auto" w:sz="2" w:space="0"/>
                  </w:tcBorders>
                  <w:noWrap w:val="0"/>
                  <w:vAlign w:val="center"/>
                </w:tcPr>
                <w:p w14:paraId="057C210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487" w:type="dxa"/>
                  <w:vMerge w:val="continue"/>
                  <w:noWrap w:val="0"/>
                  <w:vAlign w:val="center"/>
                </w:tcPr>
                <w:p w14:paraId="5981ED8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tc>
              <w:tc>
                <w:tcPr>
                  <w:tcW w:w="0" w:type="auto"/>
                  <w:noWrap w:val="0"/>
                  <w:vAlign w:val="center"/>
                </w:tcPr>
                <w:p w14:paraId="5CFEE50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69FE5B1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(mg/L)</w:t>
                  </w:r>
                </w:p>
              </w:tc>
              <w:tc>
                <w:tcPr>
                  <w:tcW w:w="0" w:type="auto"/>
                  <w:noWrap w:val="0"/>
                  <w:vAlign w:val="center"/>
                </w:tcPr>
                <w:p w14:paraId="3253032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w:t>
                  </w:r>
                </w:p>
                <w:p w14:paraId="4BA4ED3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0" w:type="auto"/>
                  <w:vMerge w:val="continue"/>
                  <w:noWrap w:val="0"/>
                  <w:vAlign w:val="center"/>
                </w:tcPr>
                <w:p w14:paraId="609B4FF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4716879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6B16A20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restart"/>
                  <w:noWrap w:val="0"/>
                  <w:vAlign w:val="center"/>
                </w:tcPr>
                <w:p w14:paraId="171951D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0" w:type="auto"/>
                  <w:vMerge w:val="restart"/>
                  <w:noWrap w:val="0"/>
                  <w:vAlign w:val="center"/>
                </w:tcPr>
                <w:p w14:paraId="77CB763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216</w:t>
                  </w:r>
                </w:p>
              </w:tc>
              <w:tc>
                <w:tcPr>
                  <w:tcW w:w="0" w:type="auto"/>
                  <w:noWrap w:val="0"/>
                  <w:vAlign w:val="center"/>
                </w:tcPr>
                <w:p w14:paraId="5FFA854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835" w:type="dxa"/>
                  <w:noWrap w:val="0"/>
                  <w:vAlign w:val="center"/>
                </w:tcPr>
                <w:p w14:paraId="3F7A061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p>
              </w:tc>
              <w:tc>
                <w:tcPr>
                  <w:tcW w:w="931" w:type="dxa"/>
                  <w:tcBorders>
                    <w:top w:val="single" w:color="auto" w:sz="2" w:space="0"/>
                  </w:tcBorders>
                  <w:noWrap w:val="0"/>
                  <w:vAlign w:val="center"/>
                </w:tcPr>
                <w:p w14:paraId="66C3E53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487" w:type="dxa"/>
                  <w:vMerge w:val="restart"/>
                  <w:noWrap w:val="0"/>
                  <w:vAlign w:val="center"/>
                </w:tcPr>
                <w:p w14:paraId="7D5CDBD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35" w:type="dxa"/>
                  <w:noWrap w:val="0"/>
                  <w:vAlign w:val="center"/>
                </w:tcPr>
                <w:p w14:paraId="46C4C27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p>
              </w:tc>
              <w:tc>
                <w:tcPr>
                  <w:tcW w:w="899" w:type="dxa"/>
                  <w:noWrap w:val="0"/>
                  <w:vAlign w:val="center"/>
                </w:tcPr>
                <w:p w14:paraId="4953B33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746" w:type="dxa"/>
                  <w:noWrap w:val="0"/>
                  <w:vAlign w:val="center"/>
                </w:tcPr>
                <w:p w14:paraId="55C4602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color w:val="auto"/>
                      <w:sz w:val="21"/>
                      <w:szCs w:val="21"/>
                    </w:rPr>
                    <w:t>0</w:t>
                  </w:r>
                </w:p>
              </w:tc>
              <w:tc>
                <w:tcPr>
                  <w:tcW w:w="0" w:type="auto"/>
                  <w:vMerge w:val="restart"/>
                  <w:noWrap w:val="0"/>
                  <w:vAlign w:val="center"/>
                </w:tcPr>
                <w:p w14:paraId="49B1775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常州市金坛儒林污水处理厂</w:t>
                  </w:r>
                </w:p>
              </w:tc>
            </w:tr>
            <w:tr w14:paraId="63ED7B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4EFD524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0D66618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2EEC89E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835" w:type="dxa"/>
                  <w:noWrap w:val="0"/>
                  <w:vAlign w:val="center"/>
                </w:tcPr>
                <w:p w14:paraId="614FEFA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0</w:t>
                  </w:r>
                </w:p>
              </w:tc>
              <w:tc>
                <w:tcPr>
                  <w:tcW w:w="931" w:type="dxa"/>
                  <w:noWrap w:val="0"/>
                  <w:vAlign w:val="center"/>
                </w:tcPr>
                <w:p w14:paraId="6537D82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487" w:type="dxa"/>
                  <w:vMerge w:val="continue"/>
                  <w:noWrap w:val="0"/>
                  <w:vAlign w:val="center"/>
                </w:tcPr>
                <w:p w14:paraId="25607A2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4E2C852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0</w:t>
                  </w:r>
                </w:p>
              </w:tc>
              <w:tc>
                <w:tcPr>
                  <w:tcW w:w="899" w:type="dxa"/>
                  <w:noWrap w:val="0"/>
                  <w:vAlign w:val="center"/>
                </w:tcPr>
                <w:p w14:paraId="5F41444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746" w:type="dxa"/>
                  <w:noWrap w:val="0"/>
                  <w:vAlign w:val="center"/>
                </w:tcPr>
                <w:p w14:paraId="1DD5642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0</w:t>
                  </w:r>
                </w:p>
              </w:tc>
              <w:tc>
                <w:tcPr>
                  <w:tcW w:w="0" w:type="auto"/>
                  <w:vMerge w:val="continue"/>
                  <w:noWrap w:val="0"/>
                  <w:vAlign w:val="center"/>
                </w:tcPr>
                <w:p w14:paraId="70E02F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494562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39C6FBC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3B85000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4F9BCF7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835" w:type="dxa"/>
                  <w:noWrap w:val="0"/>
                  <w:vAlign w:val="center"/>
                </w:tcPr>
                <w:p w14:paraId="6FCC0FB3">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25</w:t>
                  </w:r>
                </w:p>
              </w:tc>
              <w:tc>
                <w:tcPr>
                  <w:tcW w:w="931" w:type="dxa"/>
                  <w:noWrap w:val="0"/>
                  <w:vAlign w:val="center"/>
                </w:tcPr>
                <w:p w14:paraId="4A4062F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487" w:type="dxa"/>
                  <w:vMerge w:val="continue"/>
                  <w:noWrap w:val="0"/>
                  <w:vAlign w:val="center"/>
                </w:tcPr>
                <w:p w14:paraId="7C27AEA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57436F16">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99" w:type="dxa"/>
                  <w:noWrap w:val="0"/>
                  <w:vAlign w:val="center"/>
                </w:tcPr>
                <w:p w14:paraId="17C45D6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746" w:type="dxa"/>
                  <w:noWrap w:val="0"/>
                  <w:vAlign w:val="center"/>
                </w:tcPr>
                <w:p w14:paraId="084D612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0" w:type="auto"/>
                  <w:vMerge w:val="continue"/>
                  <w:noWrap w:val="0"/>
                  <w:vAlign w:val="center"/>
                </w:tcPr>
                <w:p w14:paraId="467E3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4FC609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60CA951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7DB216F3">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2314047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TN</w:t>
                  </w:r>
                </w:p>
              </w:tc>
              <w:tc>
                <w:tcPr>
                  <w:tcW w:w="835" w:type="dxa"/>
                  <w:noWrap w:val="0"/>
                  <w:vAlign w:val="center"/>
                </w:tcPr>
                <w:p w14:paraId="56FF258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931" w:type="dxa"/>
                  <w:noWrap w:val="0"/>
                  <w:vAlign w:val="center"/>
                </w:tcPr>
                <w:p w14:paraId="7DA3E0B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487" w:type="dxa"/>
                  <w:vMerge w:val="continue"/>
                  <w:noWrap w:val="0"/>
                  <w:vAlign w:val="center"/>
                </w:tcPr>
                <w:p w14:paraId="0B6F2F6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43566FB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899" w:type="dxa"/>
                  <w:noWrap w:val="0"/>
                  <w:vAlign w:val="center"/>
                </w:tcPr>
                <w:p w14:paraId="7B17F61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746" w:type="dxa"/>
                  <w:noWrap w:val="0"/>
                  <w:vAlign w:val="center"/>
                </w:tcPr>
                <w:p w14:paraId="788717D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45</w:t>
                  </w:r>
                </w:p>
              </w:tc>
              <w:tc>
                <w:tcPr>
                  <w:tcW w:w="0" w:type="auto"/>
                  <w:vMerge w:val="continue"/>
                  <w:noWrap w:val="0"/>
                  <w:vAlign w:val="center"/>
                </w:tcPr>
                <w:p w14:paraId="45EC44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464B2A2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7F7208F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51B8057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0297C3B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TP</w:t>
                  </w:r>
                </w:p>
              </w:tc>
              <w:tc>
                <w:tcPr>
                  <w:tcW w:w="835" w:type="dxa"/>
                  <w:noWrap w:val="0"/>
                  <w:vAlign w:val="center"/>
                </w:tcPr>
                <w:p w14:paraId="6B1FD79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931" w:type="dxa"/>
                  <w:noWrap w:val="0"/>
                  <w:vAlign w:val="center"/>
                </w:tcPr>
                <w:p w14:paraId="4AD95F4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487" w:type="dxa"/>
                  <w:vMerge w:val="continue"/>
                  <w:noWrap w:val="0"/>
                  <w:vAlign w:val="center"/>
                </w:tcPr>
                <w:p w14:paraId="3D2939D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2501551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99" w:type="dxa"/>
                  <w:noWrap w:val="0"/>
                  <w:vAlign w:val="center"/>
                </w:tcPr>
                <w:p w14:paraId="3B07CD4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746" w:type="dxa"/>
                  <w:noWrap w:val="0"/>
                  <w:vAlign w:val="center"/>
                </w:tcPr>
                <w:p w14:paraId="24545E7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4</w:t>
                  </w:r>
                </w:p>
              </w:tc>
              <w:tc>
                <w:tcPr>
                  <w:tcW w:w="0" w:type="auto"/>
                  <w:vMerge w:val="continue"/>
                  <w:noWrap w:val="0"/>
                  <w:vAlign w:val="center"/>
                </w:tcPr>
                <w:p w14:paraId="5386C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bl>
          <w:p w14:paraId="15DD3C21">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1.1.3废水治理设施及可行性分析</w:t>
            </w:r>
          </w:p>
          <w:p w14:paraId="610A10AB">
            <w:pPr>
              <w:ind w:firstLine="422"/>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（1）废水治理设施及工艺介绍</w:t>
            </w:r>
          </w:p>
          <w:p w14:paraId="2C5757B0">
            <w:pPr>
              <w:ind w:firstLine="420"/>
              <w:rPr>
                <w:rFonts w:hint="default" w:ascii="Times New Roman" w:hAnsi="Times New Roman" w:eastAsia="宋体" w:cs="Times New Roman"/>
                <w:bCs/>
                <w:color w:val="auto"/>
                <w:kern w:val="0"/>
                <w:sz w:val="24"/>
                <w:szCs w:val="24"/>
                <w:lang w:val="en-US"/>
              </w:rPr>
            </w:pPr>
            <w:r>
              <w:rPr>
                <w:rFonts w:hint="default" w:ascii="Times New Roman" w:hAnsi="Times New Roman" w:eastAsia="宋体" w:cs="Times New Roman"/>
                <w:bCs/>
                <w:color w:val="auto"/>
                <w:kern w:val="0"/>
                <w:sz w:val="24"/>
                <w:szCs w:val="24"/>
                <w:lang w:val="en-US" w:eastAsia="zh-CN"/>
              </w:rPr>
              <w:t>厂区</w:t>
            </w:r>
            <w:r>
              <w:rPr>
                <w:rFonts w:hint="default" w:ascii="Times New Roman" w:hAnsi="Times New Roman" w:eastAsia="宋体" w:cs="Times New Roman"/>
                <w:bCs/>
                <w:color w:val="auto"/>
                <w:kern w:val="0"/>
                <w:sz w:val="24"/>
                <w:szCs w:val="24"/>
              </w:rPr>
              <w:t>实行雨、污分流原则；雨水由</w:t>
            </w:r>
            <w:r>
              <w:rPr>
                <w:rFonts w:hint="default" w:ascii="Times New Roman" w:hAnsi="Times New Roman" w:eastAsia="宋体" w:cs="Times New Roman"/>
                <w:bCs/>
                <w:color w:val="auto"/>
                <w:kern w:val="0"/>
                <w:sz w:val="24"/>
                <w:szCs w:val="24"/>
                <w:lang w:val="en-US" w:eastAsia="zh-CN"/>
              </w:rPr>
              <w:t>厂区</w:t>
            </w:r>
            <w:r>
              <w:rPr>
                <w:rFonts w:hint="default" w:ascii="Times New Roman" w:hAnsi="Times New Roman" w:eastAsia="宋体" w:cs="Times New Roman"/>
                <w:bCs/>
                <w:color w:val="auto"/>
                <w:kern w:val="0"/>
                <w:sz w:val="24"/>
                <w:szCs w:val="24"/>
              </w:rPr>
              <w:t>内雨水管道系统收集后排入雨水管网；员工生活污水通过市政污水管网进入</w:t>
            </w:r>
            <w:r>
              <w:rPr>
                <w:rFonts w:hint="default" w:ascii="Times New Roman" w:hAnsi="Times New Roman" w:eastAsia="宋体" w:cs="Times New Roman"/>
                <w:bCs/>
                <w:color w:val="auto"/>
                <w:kern w:val="0"/>
                <w:sz w:val="24"/>
                <w:szCs w:val="24"/>
                <w:lang w:eastAsia="zh-CN"/>
              </w:rPr>
              <w:t>常州市金坛儒林污水处理厂</w:t>
            </w:r>
            <w:r>
              <w:rPr>
                <w:rFonts w:hint="default" w:ascii="Times New Roman" w:hAnsi="Times New Roman" w:eastAsia="宋体" w:cs="Times New Roman"/>
                <w:bCs/>
                <w:color w:val="auto"/>
                <w:kern w:val="0"/>
                <w:sz w:val="24"/>
                <w:szCs w:val="24"/>
              </w:rPr>
              <w:t>，尾水排入</w:t>
            </w:r>
            <w:r>
              <w:rPr>
                <w:rFonts w:hint="default" w:ascii="Times New Roman" w:hAnsi="Times New Roman" w:eastAsia="宋体" w:cs="Times New Roman"/>
                <w:bCs/>
                <w:color w:val="auto"/>
                <w:kern w:val="0"/>
                <w:sz w:val="24"/>
                <w:szCs w:val="24"/>
                <w:lang w:val="en-US" w:eastAsia="zh-CN"/>
              </w:rPr>
              <w:t>儒林</w:t>
            </w:r>
            <w:r>
              <w:rPr>
                <w:rFonts w:hint="default" w:ascii="Times New Roman" w:hAnsi="Times New Roman" w:eastAsia="宋体" w:cs="Times New Roman"/>
                <w:bCs/>
                <w:color w:val="auto"/>
                <w:kern w:val="0"/>
                <w:sz w:val="24"/>
                <w:szCs w:val="24"/>
              </w:rPr>
              <w:t>河。</w:t>
            </w:r>
          </w:p>
          <w:p w14:paraId="2AFE27B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1.2废水排放情况</w:t>
            </w:r>
          </w:p>
          <w:p w14:paraId="1834972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废水排放及排放口基本情况一览表</w:t>
            </w:r>
          </w:p>
          <w:tbl>
            <w:tblPr>
              <w:tblStyle w:val="44"/>
              <w:tblW w:w="498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79"/>
              <w:gridCol w:w="485"/>
              <w:gridCol w:w="1600"/>
              <w:gridCol w:w="1924"/>
              <w:gridCol w:w="572"/>
              <w:gridCol w:w="432"/>
              <w:gridCol w:w="594"/>
              <w:gridCol w:w="603"/>
              <w:gridCol w:w="806"/>
              <w:gridCol w:w="655"/>
              <w:gridCol w:w="769"/>
            </w:tblGrid>
            <w:tr w14:paraId="4A340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595" w:type="pct"/>
                  <w:gridSpan w:val="4"/>
                  <w:tcBorders>
                    <w:tl2br w:val="nil"/>
                    <w:tr2bl w:val="nil"/>
                  </w:tcBorders>
                  <w:noWrap w:val="0"/>
                  <w:vAlign w:val="center"/>
                </w:tcPr>
                <w:p w14:paraId="6570E1B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排放口基本情况</w:t>
                  </w:r>
                </w:p>
              </w:tc>
              <w:tc>
                <w:tcPr>
                  <w:tcW w:w="310" w:type="pct"/>
                  <w:vMerge w:val="restart"/>
                  <w:tcBorders>
                    <w:tl2br w:val="nil"/>
                    <w:tr2bl w:val="nil"/>
                  </w:tcBorders>
                  <w:noWrap w:val="0"/>
                  <w:vAlign w:val="center"/>
                </w:tcPr>
                <w:p w14:paraId="7D6A533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排放去向</w:t>
                  </w:r>
                </w:p>
              </w:tc>
              <w:tc>
                <w:tcPr>
                  <w:tcW w:w="234" w:type="pct"/>
                  <w:vMerge w:val="restart"/>
                  <w:tcBorders>
                    <w:tl2br w:val="nil"/>
                    <w:tr2bl w:val="nil"/>
                  </w:tcBorders>
                  <w:noWrap w:val="0"/>
                  <w:vAlign w:val="center"/>
                </w:tcPr>
                <w:p w14:paraId="0B2B5ADA">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排放规律</w:t>
                  </w:r>
                </w:p>
              </w:tc>
              <w:tc>
                <w:tcPr>
                  <w:tcW w:w="1086" w:type="pct"/>
                  <w:gridSpan w:val="3"/>
                  <w:tcBorders>
                    <w:tl2br w:val="nil"/>
                    <w:tr2bl w:val="nil"/>
                  </w:tcBorders>
                  <w:noWrap w:val="0"/>
                  <w:vAlign w:val="center"/>
                </w:tcPr>
                <w:p w14:paraId="15BF78D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污染物排放</w:t>
                  </w:r>
                </w:p>
              </w:tc>
              <w:tc>
                <w:tcPr>
                  <w:tcW w:w="772" w:type="pct"/>
                  <w:gridSpan w:val="2"/>
                  <w:tcBorders>
                    <w:tl2br w:val="nil"/>
                    <w:tr2bl w:val="nil"/>
                  </w:tcBorders>
                  <w:noWrap w:val="0"/>
                  <w:vAlign w:val="center"/>
                </w:tcPr>
                <w:p w14:paraId="3BB4E2E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接管标准</w:t>
                  </w:r>
                </w:p>
              </w:tc>
            </w:tr>
            <w:tr w14:paraId="4B0C3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tcBorders>
                    <w:tl2br w:val="nil"/>
                    <w:tr2bl w:val="nil"/>
                  </w:tcBorders>
                  <w:noWrap w:val="0"/>
                  <w:vAlign w:val="center"/>
                </w:tcPr>
                <w:p w14:paraId="4017302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编号</w:t>
                  </w:r>
                </w:p>
              </w:tc>
              <w:tc>
                <w:tcPr>
                  <w:tcW w:w="263" w:type="pct"/>
                  <w:tcBorders>
                    <w:tl2br w:val="nil"/>
                    <w:tr2bl w:val="nil"/>
                  </w:tcBorders>
                  <w:noWrap w:val="0"/>
                  <w:vAlign w:val="center"/>
                </w:tcPr>
                <w:p w14:paraId="65A14C5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867" w:type="pct"/>
                  <w:tcBorders>
                    <w:tl2br w:val="nil"/>
                    <w:tr2bl w:val="nil"/>
                  </w:tcBorders>
                  <w:noWrap w:val="0"/>
                  <w:vAlign w:val="center"/>
                </w:tcPr>
                <w:p w14:paraId="185AA59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排放口类型</w:t>
                  </w:r>
                </w:p>
              </w:tc>
              <w:tc>
                <w:tcPr>
                  <w:tcW w:w="1042" w:type="pct"/>
                  <w:tcBorders>
                    <w:tl2br w:val="nil"/>
                    <w:tr2bl w:val="nil"/>
                  </w:tcBorders>
                  <w:noWrap w:val="0"/>
                  <w:vAlign w:val="center"/>
                </w:tcPr>
                <w:p w14:paraId="5AC4D8C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地理坐标</w:t>
                  </w:r>
                </w:p>
              </w:tc>
              <w:tc>
                <w:tcPr>
                  <w:tcW w:w="310" w:type="pct"/>
                  <w:vMerge w:val="continue"/>
                  <w:tcBorders>
                    <w:tl2br w:val="nil"/>
                    <w:tr2bl w:val="nil"/>
                  </w:tcBorders>
                  <w:noWrap w:val="0"/>
                  <w:vAlign w:val="center"/>
                </w:tcPr>
                <w:p w14:paraId="5FEDA4C1">
                  <w:pPr>
                    <w:spacing w:line="240" w:lineRule="auto"/>
                    <w:ind w:firstLine="0" w:firstLineChars="0"/>
                    <w:jc w:val="center"/>
                    <w:rPr>
                      <w:rFonts w:hint="default" w:ascii="Times New Roman" w:hAnsi="Times New Roman" w:eastAsia="宋体" w:cs="Times New Roman"/>
                      <w:b/>
                      <w:bCs/>
                      <w:color w:val="auto"/>
                      <w:sz w:val="21"/>
                      <w:szCs w:val="21"/>
                    </w:rPr>
                  </w:pPr>
                </w:p>
              </w:tc>
              <w:tc>
                <w:tcPr>
                  <w:tcW w:w="234" w:type="pct"/>
                  <w:vMerge w:val="continue"/>
                  <w:tcBorders>
                    <w:tl2br w:val="nil"/>
                    <w:tr2bl w:val="nil"/>
                  </w:tcBorders>
                  <w:noWrap w:val="0"/>
                  <w:vAlign w:val="center"/>
                </w:tcPr>
                <w:p w14:paraId="49877480">
                  <w:pPr>
                    <w:spacing w:line="240" w:lineRule="auto"/>
                    <w:ind w:firstLine="0" w:firstLineChars="0"/>
                    <w:jc w:val="center"/>
                    <w:rPr>
                      <w:rFonts w:hint="default" w:ascii="Times New Roman" w:hAnsi="Times New Roman" w:eastAsia="宋体" w:cs="Times New Roman"/>
                      <w:b/>
                      <w:bCs/>
                      <w:color w:val="auto"/>
                      <w:sz w:val="21"/>
                      <w:szCs w:val="21"/>
                    </w:rPr>
                  </w:pPr>
                </w:p>
              </w:tc>
              <w:tc>
                <w:tcPr>
                  <w:tcW w:w="322" w:type="pct"/>
                  <w:tcBorders>
                    <w:tl2br w:val="nil"/>
                    <w:tr2bl w:val="nil"/>
                  </w:tcBorders>
                  <w:noWrap w:val="0"/>
                  <w:vAlign w:val="center"/>
                </w:tcPr>
                <w:p w14:paraId="6E7E64D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污染物种类</w:t>
                  </w:r>
                </w:p>
              </w:tc>
              <w:tc>
                <w:tcPr>
                  <w:tcW w:w="327" w:type="pct"/>
                  <w:tcBorders>
                    <w:tl2br w:val="nil"/>
                    <w:tr2bl w:val="nil"/>
                  </w:tcBorders>
                  <w:noWrap w:val="0"/>
                  <w:vAlign w:val="center"/>
                </w:tcPr>
                <w:p w14:paraId="5C4CDE3B">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浓度mg/L</w:t>
                  </w:r>
                </w:p>
              </w:tc>
              <w:tc>
                <w:tcPr>
                  <w:tcW w:w="437" w:type="pct"/>
                  <w:tcBorders>
                    <w:tl2br w:val="nil"/>
                    <w:tr2bl w:val="nil"/>
                  </w:tcBorders>
                  <w:noWrap w:val="0"/>
                  <w:vAlign w:val="center"/>
                </w:tcPr>
                <w:p w14:paraId="6C1A539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排放量t/a</w:t>
                  </w:r>
                </w:p>
              </w:tc>
              <w:tc>
                <w:tcPr>
                  <w:tcW w:w="355" w:type="pct"/>
                  <w:tcBorders>
                    <w:tl2br w:val="nil"/>
                    <w:tr2bl w:val="nil"/>
                  </w:tcBorders>
                  <w:noWrap w:val="0"/>
                  <w:vAlign w:val="center"/>
                </w:tcPr>
                <w:p w14:paraId="18609BC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417" w:type="pct"/>
                  <w:tcBorders>
                    <w:tl2br w:val="nil"/>
                    <w:tr2bl w:val="nil"/>
                  </w:tcBorders>
                  <w:noWrap w:val="0"/>
                  <w:vAlign w:val="center"/>
                </w:tcPr>
                <w:p w14:paraId="44DDE079">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浓度mg/L</w:t>
                  </w:r>
                </w:p>
              </w:tc>
            </w:tr>
            <w:tr w14:paraId="47BF0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restart"/>
                  <w:tcBorders>
                    <w:tl2br w:val="nil"/>
                    <w:tr2bl w:val="nil"/>
                  </w:tcBorders>
                  <w:noWrap w:val="0"/>
                  <w:vAlign w:val="center"/>
                </w:tcPr>
                <w:p w14:paraId="14E004B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DW001</w:t>
                  </w:r>
                </w:p>
              </w:tc>
              <w:tc>
                <w:tcPr>
                  <w:tcW w:w="263" w:type="pct"/>
                  <w:vMerge w:val="restart"/>
                  <w:tcBorders>
                    <w:tl2br w:val="nil"/>
                    <w:tr2bl w:val="nil"/>
                  </w:tcBorders>
                  <w:noWrap w:val="0"/>
                  <w:vAlign w:val="center"/>
                </w:tcPr>
                <w:p w14:paraId="3E52F4E8">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污水</w:t>
                  </w:r>
                  <w:r>
                    <w:rPr>
                      <w:rFonts w:hint="default" w:ascii="Times New Roman" w:hAnsi="Times New Roman" w:eastAsia="宋体" w:cs="Times New Roman"/>
                      <w:color w:val="auto"/>
                      <w:sz w:val="21"/>
                      <w:szCs w:val="21"/>
                    </w:rPr>
                    <w:t>排放口</w:t>
                  </w:r>
                </w:p>
              </w:tc>
              <w:tc>
                <w:tcPr>
                  <w:tcW w:w="867" w:type="pct"/>
                  <w:vMerge w:val="restart"/>
                  <w:tcBorders>
                    <w:tl2br w:val="nil"/>
                    <w:tr2bl w:val="nil"/>
                  </w:tcBorders>
                  <w:noWrap w:val="0"/>
                  <w:vAlign w:val="center"/>
                </w:tcPr>
                <w:p w14:paraId="01970A0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■企业总排口</w:t>
                  </w:r>
                </w:p>
                <w:p w14:paraId="182262D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雨水排放口</w:t>
                  </w:r>
                </w:p>
                <w:p w14:paraId="749FF96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清静下水排放口温排水排放口</w:t>
                  </w:r>
                </w:p>
                <w:p w14:paraId="27C4A4EE">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车间或车间</w:t>
                  </w:r>
                </w:p>
                <w:p w14:paraId="5A8CA42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处理设施排放口</w:t>
                  </w:r>
                </w:p>
              </w:tc>
              <w:tc>
                <w:tcPr>
                  <w:tcW w:w="1042" w:type="pct"/>
                  <w:vMerge w:val="restart"/>
                  <w:tcBorders>
                    <w:tl2br w:val="nil"/>
                    <w:tr2bl w:val="nil"/>
                  </w:tcBorders>
                  <w:noWrap w:val="0"/>
                  <w:vAlign w:val="center"/>
                </w:tcPr>
                <w:p w14:paraId="248A3803">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119.662743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31.624858</w:t>
                  </w:r>
                </w:p>
              </w:tc>
              <w:tc>
                <w:tcPr>
                  <w:tcW w:w="310" w:type="pct"/>
                  <w:vMerge w:val="restart"/>
                  <w:tcBorders>
                    <w:tl2br w:val="nil"/>
                    <w:tr2bl w:val="nil"/>
                  </w:tcBorders>
                  <w:noWrap w:val="0"/>
                  <w:vAlign w:val="center"/>
                </w:tcPr>
                <w:p w14:paraId="04FD1944">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常州市金坛儒林污水处理厂</w:t>
                  </w:r>
                </w:p>
              </w:tc>
              <w:tc>
                <w:tcPr>
                  <w:tcW w:w="234" w:type="pct"/>
                  <w:vMerge w:val="restart"/>
                  <w:tcBorders>
                    <w:tl2br w:val="nil"/>
                    <w:tr2bl w:val="nil"/>
                  </w:tcBorders>
                  <w:noWrap w:val="0"/>
                  <w:vAlign w:val="center"/>
                </w:tcPr>
                <w:p w14:paraId="553F58FD">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间接排放</w:t>
                  </w:r>
                </w:p>
              </w:tc>
              <w:tc>
                <w:tcPr>
                  <w:tcW w:w="322" w:type="pct"/>
                  <w:tcBorders>
                    <w:tl2br w:val="nil"/>
                    <w:tr2bl w:val="nil"/>
                  </w:tcBorders>
                  <w:noWrap w:val="0"/>
                  <w:vAlign w:val="center"/>
                </w:tcPr>
                <w:p w14:paraId="49A36D48">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水量</w:t>
                  </w:r>
                </w:p>
              </w:tc>
              <w:tc>
                <w:tcPr>
                  <w:tcW w:w="327" w:type="pct"/>
                  <w:tcBorders>
                    <w:tl2br w:val="nil"/>
                    <w:tr2bl w:val="nil"/>
                  </w:tcBorders>
                  <w:noWrap w:val="0"/>
                  <w:vAlign w:val="center"/>
                </w:tcPr>
                <w:p w14:paraId="1854D768">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437" w:type="pct"/>
                  <w:tcBorders>
                    <w:tl2br w:val="nil"/>
                    <w:tr2bl w:val="nil"/>
                  </w:tcBorders>
                  <w:noWrap w:val="0"/>
                  <w:vAlign w:val="center"/>
                </w:tcPr>
                <w:p w14:paraId="742CA63E">
                  <w:pPr>
                    <w:spacing w:line="240" w:lineRule="auto"/>
                    <w:ind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216</w:t>
                  </w:r>
                </w:p>
              </w:tc>
              <w:tc>
                <w:tcPr>
                  <w:tcW w:w="355" w:type="pct"/>
                  <w:vMerge w:val="restart"/>
                  <w:tcBorders>
                    <w:tl2br w:val="nil"/>
                    <w:tr2bl w:val="nil"/>
                  </w:tcBorders>
                  <w:noWrap w:val="0"/>
                  <w:vAlign w:val="center"/>
                </w:tcPr>
                <w:p w14:paraId="0C965CDF">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常州市金坛儒林污水处理厂</w:t>
                  </w:r>
                  <w:r>
                    <w:rPr>
                      <w:rFonts w:hint="default" w:ascii="Times New Roman" w:hAnsi="Times New Roman" w:eastAsia="宋体" w:cs="Times New Roman"/>
                      <w:color w:val="auto"/>
                      <w:sz w:val="21"/>
                      <w:szCs w:val="21"/>
                    </w:rPr>
                    <w:t>接管标准</w:t>
                  </w:r>
                </w:p>
              </w:tc>
              <w:tc>
                <w:tcPr>
                  <w:tcW w:w="417" w:type="pct"/>
                  <w:tcBorders>
                    <w:tl2br w:val="nil"/>
                    <w:tr2bl w:val="nil"/>
                  </w:tcBorders>
                  <w:noWrap w:val="0"/>
                  <w:vAlign w:val="center"/>
                </w:tcPr>
                <w:p w14:paraId="2556F033">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EF1B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continue"/>
                  <w:tcBorders>
                    <w:tl2br w:val="nil"/>
                    <w:tr2bl w:val="nil"/>
                  </w:tcBorders>
                  <w:noWrap w:val="0"/>
                  <w:vAlign w:val="center"/>
                </w:tcPr>
                <w:p w14:paraId="0F8ACA0B">
                  <w:pPr>
                    <w:spacing w:line="240" w:lineRule="auto"/>
                    <w:ind w:firstLine="0" w:firstLineChars="0"/>
                    <w:jc w:val="center"/>
                    <w:rPr>
                      <w:rFonts w:hint="default" w:ascii="Times New Roman" w:hAnsi="Times New Roman" w:eastAsia="宋体" w:cs="Times New Roman"/>
                      <w:color w:val="auto"/>
                      <w:sz w:val="21"/>
                      <w:szCs w:val="21"/>
                    </w:rPr>
                  </w:pPr>
                </w:p>
              </w:tc>
              <w:tc>
                <w:tcPr>
                  <w:tcW w:w="263" w:type="pct"/>
                  <w:vMerge w:val="continue"/>
                  <w:tcBorders>
                    <w:tl2br w:val="nil"/>
                    <w:tr2bl w:val="nil"/>
                  </w:tcBorders>
                  <w:noWrap w:val="0"/>
                  <w:vAlign w:val="center"/>
                </w:tcPr>
                <w:p w14:paraId="2D5F2E18">
                  <w:pPr>
                    <w:spacing w:line="240" w:lineRule="auto"/>
                    <w:ind w:firstLine="0" w:firstLineChars="0"/>
                    <w:jc w:val="center"/>
                    <w:rPr>
                      <w:rFonts w:hint="default" w:ascii="Times New Roman" w:hAnsi="Times New Roman" w:eastAsia="宋体" w:cs="Times New Roman"/>
                      <w:color w:val="auto"/>
                      <w:sz w:val="21"/>
                      <w:szCs w:val="21"/>
                    </w:rPr>
                  </w:pPr>
                </w:p>
              </w:tc>
              <w:tc>
                <w:tcPr>
                  <w:tcW w:w="867" w:type="pct"/>
                  <w:vMerge w:val="continue"/>
                  <w:tcBorders>
                    <w:tl2br w:val="nil"/>
                    <w:tr2bl w:val="nil"/>
                  </w:tcBorders>
                  <w:noWrap w:val="0"/>
                  <w:vAlign w:val="center"/>
                </w:tcPr>
                <w:p w14:paraId="11FDD4BA">
                  <w:pPr>
                    <w:spacing w:line="240" w:lineRule="auto"/>
                    <w:ind w:firstLine="0" w:firstLineChars="0"/>
                    <w:jc w:val="center"/>
                    <w:rPr>
                      <w:rFonts w:hint="default" w:ascii="Times New Roman" w:hAnsi="Times New Roman" w:eastAsia="宋体" w:cs="Times New Roman"/>
                      <w:color w:val="auto"/>
                      <w:sz w:val="21"/>
                      <w:szCs w:val="21"/>
                    </w:rPr>
                  </w:pPr>
                </w:p>
              </w:tc>
              <w:tc>
                <w:tcPr>
                  <w:tcW w:w="1042" w:type="pct"/>
                  <w:vMerge w:val="continue"/>
                  <w:tcBorders>
                    <w:tl2br w:val="nil"/>
                    <w:tr2bl w:val="nil"/>
                  </w:tcBorders>
                  <w:noWrap w:val="0"/>
                  <w:vAlign w:val="center"/>
                </w:tcPr>
                <w:p w14:paraId="2C78806D">
                  <w:pPr>
                    <w:spacing w:line="240" w:lineRule="auto"/>
                    <w:ind w:firstLine="0" w:firstLineChars="0"/>
                    <w:jc w:val="center"/>
                    <w:rPr>
                      <w:rFonts w:hint="default" w:ascii="Times New Roman" w:hAnsi="Times New Roman" w:eastAsia="宋体" w:cs="Times New Roman"/>
                      <w:color w:val="auto"/>
                      <w:sz w:val="21"/>
                      <w:szCs w:val="21"/>
                    </w:rPr>
                  </w:pPr>
                </w:p>
              </w:tc>
              <w:tc>
                <w:tcPr>
                  <w:tcW w:w="310" w:type="pct"/>
                  <w:vMerge w:val="continue"/>
                  <w:tcBorders>
                    <w:tl2br w:val="nil"/>
                    <w:tr2bl w:val="nil"/>
                  </w:tcBorders>
                  <w:noWrap w:val="0"/>
                  <w:vAlign w:val="center"/>
                </w:tcPr>
                <w:p w14:paraId="309AF672">
                  <w:pPr>
                    <w:spacing w:line="240" w:lineRule="auto"/>
                    <w:ind w:firstLine="0" w:firstLineChars="0"/>
                    <w:jc w:val="center"/>
                    <w:rPr>
                      <w:rFonts w:hint="default" w:ascii="Times New Roman" w:hAnsi="Times New Roman" w:eastAsia="宋体" w:cs="Times New Roman"/>
                      <w:color w:val="auto"/>
                      <w:sz w:val="21"/>
                      <w:szCs w:val="21"/>
                    </w:rPr>
                  </w:pPr>
                </w:p>
              </w:tc>
              <w:tc>
                <w:tcPr>
                  <w:tcW w:w="234" w:type="pct"/>
                  <w:vMerge w:val="continue"/>
                  <w:tcBorders>
                    <w:tl2br w:val="nil"/>
                    <w:tr2bl w:val="nil"/>
                  </w:tcBorders>
                  <w:noWrap w:val="0"/>
                  <w:vAlign w:val="center"/>
                </w:tcPr>
                <w:p w14:paraId="0BD1F118">
                  <w:pPr>
                    <w:spacing w:line="240" w:lineRule="auto"/>
                    <w:ind w:firstLine="0" w:firstLineChars="0"/>
                    <w:jc w:val="center"/>
                    <w:rPr>
                      <w:rFonts w:hint="default" w:ascii="Times New Roman" w:hAnsi="Times New Roman" w:eastAsia="宋体" w:cs="Times New Roman"/>
                      <w:color w:val="auto"/>
                      <w:sz w:val="21"/>
                      <w:szCs w:val="21"/>
                    </w:rPr>
                  </w:pPr>
                </w:p>
              </w:tc>
              <w:tc>
                <w:tcPr>
                  <w:tcW w:w="322" w:type="pct"/>
                  <w:tcBorders>
                    <w:tl2br w:val="nil"/>
                    <w:tr2bl w:val="nil"/>
                  </w:tcBorders>
                  <w:noWrap w:val="0"/>
                  <w:vAlign w:val="center"/>
                </w:tcPr>
                <w:p w14:paraId="42B447B6">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COD</w:t>
                  </w:r>
                </w:p>
              </w:tc>
              <w:tc>
                <w:tcPr>
                  <w:tcW w:w="603" w:type="dxa"/>
                  <w:tcBorders>
                    <w:tl2br w:val="nil"/>
                    <w:tr2bl w:val="nil"/>
                  </w:tcBorders>
                  <w:noWrap w:val="0"/>
                  <w:vAlign w:val="center"/>
                </w:tcPr>
                <w:p w14:paraId="035116C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p>
              </w:tc>
              <w:tc>
                <w:tcPr>
                  <w:tcW w:w="806" w:type="dxa"/>
                  <w:tcBorders>
                    <w:tl2br w:val="nil"/>
                    <w:tr2bl w:val="nil"/>
                  </w:tcBorders>
                  <w:noWrap w:val="0"/>
                  <w:vAlign w:val="center"/>
                </w:tcPr>
                <w:p w14:paraId="5B65B13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355" w:type="pct"/>
                  <w:vMerge w:val="continue"/>
                  <w:tcBorders>
                    <w:tl2br w:val="nil"/>
                    <w:tr2bl w:val="nil"/>
                  </w:tcBorders>
                  <w:noWrap w:val="0"/>
                  <w:vAlign w:val="center"/>
                </w:tcPr>
                <w:p w14:paraId="03D08C46">
                  <w:pPr>
                    <w:spacing w:line="240" w:lineRule="auto"/>
                    <w:ind w:firstLine="0" w:firstLineChars="0"/>
                    <w:jc w:val="center"/>
                    <w:rPr>
                      <w:rFonts w:hint="default" w:ascii="Times New Roman" w:hAnsi="Times New Roman" w:eastAsia="宋体" w:cs="Times New Roman"/>
                      <w:color w:val="auto"/>
                      <w:sz w:val="21"/>
                      <w:szCs w:val="21"/>
                    </w:rPr>
                  </w:pPr>
                </w:p>
              </w:tc>
              <w:tc>
                <w:tcPr>
                  <w:tcW w:w="769" w:type="dxa"/>
                  <w:tcBorders>
                    <w:tl2br w:val="nil"/>
                    <w:tr2bl w:val="nil"/>
                  </w:tcBorders>
                  <w:noWrap w:val="0"/>
                  <w:vAlign w:val="center"/>
                </w:tcPr>
                <w:p w14:paraId="1EB1185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color w:val="auto"/>
                      <w:sz w:val="21"/>
                      <w:szCs w:val="21"/>
                    </w:rPr>
                    <w:t>0</w:t>
                  </w:r>
                </w:p>
              </w:tc>
            </w:tr>
            <w:tr w14:paraId="7C9C8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continue"/>
                  <w:tcBorders>
                    <w:tl2br w:val="nil"/>
                    <w:tr2bl w:val="nil"/>
                  </w:tcBorders>
                  <w:noWrap w:val="0"/>
                  <w:vAlign w:val="center"/>
                </w:tcPr>
                <w:p w14:paraId="745F3140">
                  <w:pPr>
                    <w:spacing w:line="240" w:lineRule="auto"/>
                    <w:ind w:firstLine="0" w:firstLineChars="0"/>
                    <w:jc w:val="center"/>
                    <w:rPr>
                      <w:rFonts w:hint="default" w:ascii="Times New Roman" w:hAnsi="Times New Roman" w:eastAsia="宋体" w:cs="Times New Roman"/>
                      <w:color w:val="auto"/>
                      <w:sz w:val="21"/>
                      <w:szCs w:val="21"/>
                    </w:rPr>
                  </w:pPr>
                </w:p>
              </w:tc>
              <w:tc>
                <w:tcPr>
                  <w:tcW w:w="263" w:type="pct"/>
                  <w:vMerge w:val="continue"/>
                  <w:tcBorders>
                    <w:tl2br w:val="nil"/>
                    <w:tr2bl w:val="nil"/>
                  </w:tcBorders>
                  <w:noWrap w:val="0"/>
                  <w:vAlign w:val="center"/>
                </w:tcPr>
                <w:p w14:paraId="0644EEBD">
                  <w:pPr>
                    <w:spacing w:line="240" w:lineRule="auto"/>
                    <w:ind w:firstLine="0" w:firstLineChars="0"/>
                    <w:jc w:val="center"/>
                    <w:rPr>
                      <w:rFonts w:hint="default" w:ascii="Times New Roman" w:hAnsi="Times New Roman" w:eastAsia="宋体" w:cs="Times New Roman"/>
                      <w:color w:val="auto"/>
                      <w:sz w:val="21"/>
                      <w:szCs w:val="21"/>
                    </w:rPr>
                  </w:pPr>
                </w:p>
              </w:tc>
              <w:tc>
                <w:tcPr>
                  <w:tcW w:w="867" w:type="pct"/>
                  <w:vMerge w:val="continue"/>
                  <w:tcBorders>
                    <w:tl2br w:val="nil"/>
                    <w:tr2bl w:val="nil"/>
                  </w:tcBorders>
                  <w:noWrap w:val="0"/>
                  <w:vAlign w:val="center"/>
                </w:tcPr>
                <w:p w14:paraId="13F4964B">
                  <w:pPr>
                    <w:spacing w:line="240" w:lineRule="auto"/>
                    <w:ind w:firstLine="0" w:firstLineChars="0"/>
                    <w:jc w:val="center"/>
                    <w:rPr>
                      <w:rFonts w:hint="default" w:ascii="Times New Roman" w:hAnsi="Times New Roman" w:eastAsia="宋体" w:cs="Times New Roman"/>
                      <w:color w:val="auto"/>
                      <w:sz w:val="21"/>
                      <w:szCs w:val="21"/>
                    </w:rPr>
                  </w:pPr>
                </w:p>
              </w:tc>
              <w:tc>
                <w:tcPr>
                  <w:tcW w:w="1042" w:type="pct"/>
                  <w:vMerge w:val="continue"/>
                  <w:tcBorders>
                    <w:tl2br w:val="nil"/>
                    <w:tr2bl w:val="nil"/>
                  </w:tcBorders>
                  <w:noWrap w:val="0"/>
                  <w:vAlign w:val="center"/>
                </w:tcPr>
                <w:p w14:paraId="39DFC26E">
                  <w:pPr>
                    <w:spacing w:line="240" w:lineRule="auto"/>
                    <w:ind w:firstLine="0" w:firstLineChars="0"/>
                    <w:jc w:val="center"/>
                    <w:rPr>
                      <w:rFonts w:hint="default" w:ascii="Times New Roman" w:hAnsi="Times New Roman" w:eastAsia="宋体" w:cs="Times New Roman"/>
                      <w:color w:val="auto"/>
                      <w:sz w:val="21"/>
                      <w:szCs w:val="21"/>
                    </w:rPr>
                  </w:pPr>
                </w:p>
              </w:tc>
              <w:tc>
                <w:tcPr>
                  <w:tcW w:w="310" w:type="pct"/>
                  <w:vMerge w:val="continue"/>
                  <w:tcBorders>
                    <w:tl2br w:val="nil"/>
                    <w:tr2bl w:val="nil"/>
                  </w:tcBorders>
                  <w:noWrap w:val="0"/>
                  <w:vAlign w:val="center"/>
                </w:tcPr>
                <w:p w14:paraId="1A00522C">
                  <w:pPr>
                    <w:spacing w:line="240" w:lineRule="auto"/>
                    <w:ind w:firstLine="0" w:firstLineChars="0"/>
                    <w:jc w:val="center"/>
                    <w:rPr>
                      <w:rFonts w:hint="default" w:ascii="Times New Roman" w:hAnsi="Times New Roman" w:eastAsia="宋体" w:cs="Times New Roman"/>
                      <w:color w:val="auto"/>
                      <w:sz w:val="21"/>
                      <w:szCs w:val="21"/>
                    </w:rPr>
                  </w:pPr>
                </w:p>
              </w:tc>
              <w:tc>
                <w:tcPr>
                  <w:tcW w:w="234" w:type="pct"/>
                  <w:vMerge w:val="continue"/>
                  <w:tcBorders>
                    <w:tl2br w:val="nil"/>
                    <w:tr2bl w:val="nil"/>
                  </w:tcBorders>
                  <w:noWrap w:val="0"/>
                  <w:vAlign w:val="center"/>
                </w:tcPr>
                <w:p w14:paraId="61F9267A">
                  <w:pPr>
                    <w:spacing w:line="240" w:lineRule="auto"/>
                    <w:ind w:firstLine="0" w:firstLineChars="0"/>
                    <w:jc w:val="center"/>
                    <w:rPr>
                      <w:rFonts w:hint="default" w:ascii="Times New Roman" w:hAnsi="Times New Roman" w:eastAsia="宋体" w:cs="Times New Roman"/>
                      <w:color w:val="auto"/>
                      <w:sz w:val="21"/>
                      <w:szCs w:val="21"/>
                    </w:rPr>
                  </w:pPr>
                </w:p>
              </w:tc>
              <w:tc>
                <w:tcPr>
                  <w:tcW w:w="322" w:type="pct"/>
                  <w:tcBorders>
                    <w:tl2br w:val="nil"/>
                    <w:tr2bl w:val="nil"/>
                  </w:tcBorders>
                  <w:noWrap w:val="0"/>
                  <w:vAlign w:val="center"/>
                </w:tcPr>
                <w:p w14:paraId="7AE1E8C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SS</w:t>
                  </w:r>
                </w:p>
              </w:tc>
              <w:tc>
                <w:tcPr>
                  <w:tcW w:w="603" w:type="dxa"/>
                  <w:tcBorders>
                    <w:tl2br w:val="nil"/>
                    <w:tr2bl w:val="nil"/>
                  </w:tcBorders>
                  <w:noWrap w:val="0"/>
                  <w:vAlign w:val="center"/>
                </w:tcPr>
                <w:p w14:paraId="0B803C7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0</w:t>
                  </w:r>
                </w:p>
              </w:tc>
              <w:tc>
                <w:tcPr>
                  <w:tcW w:w="806" w:type="dxa"/>
                  <w:tcBorders>
                    <w:tl2br w:val="nil"/>
                    <w:tr2bl w:val="nil"/>
                  </w:tcBorders>
                  <w:noWrap w:val="0"/>
                  <w:vAlign w:val="center"/>
                </w:tcPr>
                <w:p w14:paraId="0557312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355" w:type="pct"/>
                  <w:vMerge w:val="continue"/>
                  <w:tcBorders>
                    <w:tl2br w:val="nil"/>
                    <w:tr2bl w:val="nil"/>
                  </w:tcBorders>
                  <w:noWrap w:val="0"/>
                  <w:vAlign w:val="center"/>
                </w:tcPr>
                <w:p w14:paraId="0D016F11">
                  <w:pPr>
                    <w:spacing w:line="240" w:lineRule="auto"/>
                    <w:ind w:firstLine="0" w:firstLineChars="0"/>
                    <w:jc w:val="center"/>
                    <w:rPr>
                      <w:rFonts w:hint="default" w:ascii="Times New Roman" w:hAnsi="Times New Roman" w:eastAsia="宋体" w:cs="Times New Roman"/>
                      <w:color w:val="auto"/>
                      <w:sz w:val="21"/>
                      <w:szCs w:val="21"/>
                    </w:rPr>
                  </w:pPr>
                </w:p>
              </w:tc>
              <w:tc>
                <w:tcPr>
                  <w:tcW w:w="769" w:type="dxa"/>
                  <w:tcBorders>
                    <w:tl2br w:val="nil"/>
                    <w:tr2bl w:val="nil"/>
                  </w:tcBorders>
                  <w:noWrap w:val="0"/>
                  <w:vAlign w:val="center"/>
                </w:tcPr>
                <w:p w14:paraId="0C399D2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0</w:t>
                  </w:r>
                </w:p>
              </w:tc>
            </w:tr>
            <w:tr w14:paraId="59930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continue"/>
                  <w:tcBorders>
                    <w:tl2br w:val="nil"/>
                    <w:tr2bl w:val="nil"/>
                  </w:tcBorders>
                  <w:noWrap w:val="0"/>
                  <w:vAlign w:val="center"/>
                </w:tcPr>
                <w:p w14:paraId="53F6E593">
                  <w:pPr>
                    <w:spacing w:line="240" w:lineRule="auto"/>
                    <w:ind w:firstLine="0" w:firstLineChars="0"/>
                    <w:jc w:val="center"/>
                    <w:rPr>
                      <w:rFonts w:hint="default" w:ascii="Times New Roman" w:hAnsi="Times New Roman" w:eastAsia="宋体" w:cs="Times New Roman"/>
                      <w:color w:val="auto"/>
                      <w:sz w:val="21"/>
                      <w:szCs w:val="21"/>
                    </w:rPr>
                  </w:pPr>
                </w:p>
              </w:tc>
              <w:tc>
                <w:tcPr>
                  <w:tcW w:w="263" w:type="pct"/>
                  <w:vMerge w:val="continue"/>
                  <w:tcBorders>
                    <w:tl2br w:val="nil"/>
                    <w:tr2bl w:val="nil"/>
                  </w:tcBorders>
                  <w:noWrap w:val="0"/>
                  <w:vAlign w:val="center"/>
                </w:tcPr>
                <w:p w14:paraId="3D1BF115">
                  <w:pPr>
                    <w:spacing w:line="240" w:lineRule="auto"/>
                    <w:ind w:firstLine="0" w:firstLineChars="0"/>
                    <w:jc w:val="center"/>
                    <w:rPr>
                      <w:rFonts w:hint="default" w:ascii="Times New Roman" w:hAnsi="Times New Roman" w:eastAsia="宋体" w:cs="Times New Roman"/>
                      <w:color w:val="auto"/>
                      <w:sz w:val="21"/>
                      <w:szCs w:val="21"/>
                    </w:rPr>
                  </w:pPr>
                </w:p>
              </w:tc>
              <w:tc>
                <w:tcPr>
                  <w:tcW w:w="867" w:type="pct"/>
                  <w:vMerge w:val="continue"/>
                  <w:tcBorders>
                    <w:tl2br w:val="nil"/>
                    <w:tr2bl w:val="nil"/>
                  </w:tcBorders>
                  <w:noWrap w:val="0"/>
                  <w:vAlign w:val="center"/>
                </w:tcPr>
                <w:p w14:paraId="16E3F854">
                  <w:pPr>
                    <w:spacing w:line="240" w:lineRule="auto"/>
                    <w:ind w:firstLine="0" w:firstLineChars="0"/>
                    <w:jc w:val="center"/>
                    <w:rPr>
                      <w:rFonts w:hint="default" w:ascii="Times New Roman" w:hAnsi="Times New Roman" w:eastAsia="宋体" w:cs="Times New Roman"/>
                      <w:color w:val="auto"/>
                      <w:sz w:val="21"/>
                      <w:szCs w:val="21"/>
                    </w:rPr>
                  </w:pPr>
                </w:p>
              </w:tc>
              <w:tc>
                <w:tcPr>
                  <w:tcW w:w="1042" w:type="pct"/>
                  <w:vMerge w:val="continue"/>
                  <w:tcBorders>
                    <w:tl2br w:val="nil"/>
                    <w:tr2bl w:val="nil"/>
                  </w:tcBorders>
                  <w:noWrap w:val="0"/>
                  <w:vAlign w:val="center"/>
                </w:tcPr>
                <w:p w14:paraId="730BEF9B">
                  <w:pPr>
                    <w:spacing w:line="240" w:lineRule="auto"/>
                    <w:ind w:firstLine="0" w:firstLineChars="0"/>
                    <w:jc w:val="center"/>
                    <w:rPr>
                      <w:rFonts w:hint="default" w:ascii="Times New Roman" w:hAnsi="Times New Roman" w:eastAsia="宋体" w:cs="Times New Roman"/>
                      <w:color w:val="auto"/>
                      <w:sz w:val="21"/>
                      <w:szCs w:val="21"/>
                    </w:rPr>
                  </w:pPr>
                </w:p>
              </w:tc>
              <w:tc>
                <w:tcPr>
                  <w:tcW w:w="310" w:type="pct"/>
                  <w:vMerge w:val="continue"/>
                  <w:tcBorders>
                    <w:tl2br w:val="nil"/>
                    <w:tr2bl w:val="nil"/>
                  </w:tcBorders>
                  <w:noWrap w:val="0"/>
                  <w:vAlign w:val="center"/>
                </w:tcPr>
                <w:p w14:paraId="5A299F26">
                  <w:pPr>
                    <w:spacing w:line="240" w:lineRule="auto"/>
                    <w:ind w:firstLine="0" w:firstLineChars="0"/>
                    <w:jc w:val="center"/>
                    <w:rPr>
                      <w:rFonts w:hint="default" w:ascii="Times New Roman" w:hAnsi="Times New Roman" w:eastAsia="宋体" w:cs="Times New Roman"/>
                      <w:color w:val="auto"/>
                      <w:sz w:val="21"/>
                      <w:szCs w:val="21"/>
                    </w:rPr>
                  </w:pPr>
                </w:p>
              </w:tc>
              <w:tc>
                <w:tcPr>
                  <w:tcW w:w="234" w:type="pct"/>
                  <w:vMerge w:val="continue"/>
                  <w:tcBorders>
                    <w:tl2br w:val="nil"/>
                    <w:tr2bl w:val="nil"/>
                  </w:tcBorders>
                  <w:noWrap w:val="0"/>
                  <w:vAlign w:val="center"/>
                </w:tcPr>
                <w:p w14:paraId="6FC6AA1C">
                  <w:pPr>
                    <w:spacing w:line="240" w:lineRule="auto"/>
                    <w:ind w:firstLine="0" w:firstLineChars="0"/>
                    <w:jc w:val="center"/>
                    <w:rPr>
                      <w:rFonts w:hint="default" w:ascii="Times New Roman" w:hAnsi="Times New Roman" w:eastAsia="宋体" w:cs="Times New Roman"/>
                      <w:color w:val="auto"/>
                      <w:sz w:val="21"/>
                      <w:szCs w:val="21"/>
                    </w:rPr>
                  </w:pPr>
                </w:p>
              </w:tc>
              <w:tc>
                <w:tcPr>
                  <w:tcW w:w="322" w:type="pct"/>
                  <w:tcBorders>
                    <w:tl2br w:val="nil"/>
                    <w:tr2bl w:val="nil"/>
                  </w:tcBorders>
                  <w:noWrap w:val="0"/>
                  <w:vAlign w:val="center"/>
                </w:tcPr>
                <w:p w14:paraId="4CF4A4E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氨氮</w:t>
                  </w:r>
                </w:p>
              </w:tc>
              <w:tc>
                <w:tcPr>
                  <w:tcW w:w="603" w:type="dxa"/>
                  <w:tcBorders>
                    <w:tl2br w:val="nil"/>
                    <w:tr2bl w:val="nil"/>
                  </w:tcBorders>
                  <w:noWrap w:val="0"/>
                  <w:vAlign w:val="center"/>
                </w:tcPr>
                <w:p w14:paraId="7EC5A53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06" w:type="dxa"/>
                  <w:tcBorders>
                    <w:tl2br w:val="nil"/>
                    <w:tr2bl w:val="nil"/>
                  </w:tcBorders>
                  <w:noWrap w:val="0"/>
                  <w:vAlign w:val="center"/>
                </w:tcPr>
                <w:p w14:paraId="3B9E484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355" w:type="pct"/>
                  <w:vMerge w:val="continue"/>
                  <w:tcBorders>
                    <w:tl2br w:val="nil"/>
                    <w:tr2bl w:val="nil"/>
                  </w:tcBorders>
                  <w:noWrap w:val="0"/>
                  <w:vAlign w:val="center"/>
                </w:tcPr>
                <w:p w14:paraId="5B408691">
                  <w:pPr>
                    <w:spacing w:line="240" w:lineRule="auto"/>
                    <w:ind w:firstLine="0" w:firstLineChars="0"/>
                    <w:jc w:val="center"/>
                    <w:rPr>
                      <w:rFonts w:hint="default" w:ascii="Times New Roman" w:hAnsi="Times New Roman" w:eastAsia="宋体" w:cs="Times New Roman"/>
                      <w:color w:val="auto"/>
                      <w:sz w:val="21"/>
                      <w:szCs w:val="21"/>
                    </w:rPr>
                  </w:pPr>
                </w:p>
              </w:tc>
              <w:tc>
                <w:tcPr>
                  <w:tcW w:w="769" w:type="dxa"/>
                  <w:tcBorders>
                    <w:tl2br w:val="nil"/>
                    <w:tr2bl w:val="nil"/>
                  </w:tcBorders>
                  <w:noWrap w:val="0"/>
                  <w:vAlign w:val="center"/>
                </w:tcPr>
                <w:p w14:paraId="54A32B9E">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r>
            <w:tr w14:paraId="3B905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continue"/>
                  <w:tcBorders>
                    <w:tl2br w:val="nil"/>
                    <w:tr2bl w:val="nil"/>
                  </w:tcBorders>
                  <w:noWrap w:val="0"/>
                  <w:vAlign w:val="center"/>
                </w:tcPr>
                <w:p w14:paraId="74F89C5E">
                  <w:pPr>
                    <w:spacing w:line="240" w:lineRule="auto"/>
                    <w:ind w:firstLine="0" w:firstLineChars="0"/>
                    <w:jc w:val="center"/>
                    <w:rPr>
                      <w:rFonts w:hint="default" w:ascii="Times New Roman" w:hAnsi="Times New Roman" w:eastAsia="宋体" w:cs="Times New Roman"/>
                      <w:color w:val="auto"/>
                      <w:sz w:val="21"/>
                      <w:szCs w:val="21"/>
                    </w:rPr>
                  </w:pPr>
                </w:p>
              </w:tc>
              <w:tc>
                <w:tcPr>
                  <w:tcW w:w="263" w:type="pct"/>
                  <w:vMerge w:val="continue"/>
                  <w:tcBorders>
                    <w:tl2br w:val="nil"/>
                    <w:tr2bl w:val="nil"/>
                  </w:tcBorders>
                  <w:noWrap w:val="0"/>
                  <w:vAlign w:val="center"/>
                </w:tcPr>
                <w:p w14:paraId="6299B950">
                  <w:pPr>
                    <w:spacing w:line="240" w:lineRule="auto"/>
                    <w:ind w:firstLine="0" w:firstLineChars="0"/>
                    <w:jc w:val="center"/>
                    <w:rPr>
                      <w:rFonts w:hint="default" w:ascii="Times New Roman" w:hAnsi="Times New Roman" w:eastAsia="宋体" w:cs="Times New Roman"/>
                      <w:color w:val="auto"/>
                      <w:sz w:val="21"/>
                      <w:szCs w:val="21"/>
                    </w:rPr>
                  </w:pPr>
                </w:p>
              </w:tc>
              <w:tc>
                <w:tcPr>
                  <w:tcW w:w="867" w:type="pct"/>
                  <w:vMerge w:val="continue"/>
                  <w:tcBorders>
                    <w:tl2br w:val="nil"/>
                    <w:tr2bl w:val="nil"/>
                  </w:tcBorders>
                  <w:noWrap w:val="0"/>
                  <w:vAlign w:val="center"/>
                </w:tcPr>
                <w:p w14:paraId="4B79DE29">
                  <w:pPr>
                    <w:spacing w:line="240" w:lineRule="auto"/>
                    <w:ind w:firstLine="0" w:firstLineChars="0"/>
                    <w:jc w:val="center"/>
                    <w:rPr>
                      <w:rFonts w:hint="default" w:ascii="Times New Roman" w:hAnsi="Times New Roman" w:eastAsia="宋体" w:cs="Times New Roman"/>
                      <w:color w:val="auto"/>
                      <w:sz w:val="21"/>
                      <w:szCs w:val="21"/>
                    </w:rPr>
                  </w:pPr>
                </w:p>
              </w:tc>
              <w:tc>
                <w:tcPr>
                  <w:tcW w:w="1042" w:type="pct"/>
                  <w:vMerge w:val="continue"/>
                  <w:tcBorders>
                    <w:tl2br w:val="nil"/>
                    <w:tr2bl w:val="nil"/>
                  </w:tcBorders>
                  <w:noWrap w:val="0"/>
                  <w:vAlign w:val="center"/>
                </w:tcPr>
                <w:p w14:paraId="49C3C36D">
                  <w:pPr>
                    <w:spacing w:line="240" w:lineRule="auto"/>
                    <w:ind w:firstLine="0" w:firstLineChars="0"/>
                    <w:jc w:val="center"/>
                    <w:rPr>
                      <w:rFonts w:hint="default" w:ascii="Times New Roman" w:hAnsi="Times New Roman" w:eastAsia="宋体" w:cs="Times New Roman"/>
                      <w:color w:val="auto"/>
                      <w:sz w:val="21"/>
                      <w:szCs w:val="21"/>
                    </w:rPr>
                  </w:pPr>
                </w:p>
              </w:tc>
              <w:tc>
                <w:tcPr>
                  <w:tcW w:w="310" w:type="pct"/>
                  <w:vMerge w:val="continue"/>
                  <w:tcBorders>
                    <w:tl2br w:val="nil"/>
                    <w:tr2bl w:val="nil"/>
                  </w:tcBorders>
                  <w:noWrap w:val="0"/>
                  <w:vAlign w:val="center"/>
                </w:tcPr>
                <w:p w14:paraId="00D31DCF">
                  <w:pPr>
                    <w:spacing w:line="240" w:lineRule="auto"/>
                    <w:ind w:firstLine="0" w:firstLineChars="0"/>
                    <w:jc w:val="center"/>
                    <w:rPr>
                      <w:rFonts w:hint="default" w:ascii="Times New Roman" w:hAnsi="Times New Roman" w:eastAsia="宋体" w:cs="Times New Roman"/>
                      <w:color w:val="auto"/>
                      <w:sz w:val="21"/>
                      <w:szCs w:val="21"/>
                    </w:rPr>
                  </w:pPr>
                </w:p>
              </w:tc>
              <w:tc>
                <w:tcPr>
                  <w:tcW w:w="234" w:type="pct"/>
                  <w:vMerge w:val="continue"/>
                  <w:tcBorders>
                    <w:tl2br w:val="nil"/>
                    <w:tr2bl w:val="nil"/>
                  </w:tcBorders>
                  <w:noWrap w:val="0"/>
                  <w:vAlign w:val="center"/>
                </w:tcPr>
                <w:p w14:paraId="33DAF0D8">
                  <w:pPr>
                    <w:spacing w:line="240" w:lineRule="auto"/>
                    <w:ind w:firstLine="0" w:firstLineChars="0"/>
                    <w:jc w:val="center"/>
                    <w:rPr>
                      <w:rFonts w:hint="default" w:ascii="Times New Roman" w:hAnsi="Times New Roman" w:eastAsia="宋体" w:cs="Times New Roman"/>
                      <w:color w:val="auto"/>
                      <w:sz w:val="21"/>
                      <w:szCs w:val="21"/>
                    </w:rPr>
                  </w:pPr>
                </w:p>
              </w:tc>
              <w:tc>
                <w:tcPr>
                  <w:tcW w:w="322" w:type="pct"/>
                  <w:tcBorders>
                    <w:tl2br w:val="nil"/>
                    <w:tr2bl w:val="nil"/>
                  </w:tcBorders>
                  <w:noWrap w:val="0"/>
                  <w:vAlign w:val="center"/>
                </w:tcPr>
                <w:p w14:paraId="53676A6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TN</w:t>
                  </w:r>
                </w:p>
              </w:tc>
              <w:tc>
                <w:tcPr>
                  <w:tcW w:w="603" w:type="dxa"/>
                  <w:tcBorders>
                    <w:tl2br w:val="nil"/>
                    <w:tr2bl w:val="nil"/>
                  </w:tcBorders>
                  <w:noWrap w:val="0"/>
                  <w:vAlign w:val="center"/>
                </w:tcPr>
                <w:p w14:paraId="012DE6B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806" w:type="dxa"/>
                  <w:tcBorders>
                    <w:tl2br w:val="nil"/>
                    <w:tr2bl w:val="nil"/>
                  </w:tcBorders>
                  <w:noWrap w:val="0"/>
                  <w:vAlign w:val="center"/>
                </w:tcPr>
                <w:p w14:paraId="6D209EE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355" w:type="pct"/>
                  <w:vMerge w:val="continue"/>
                  <w:tcBorders>
                    <w:tl2br w:val="nil"/>
                    <w:tr2bl w:val="nil"/>
                  </w:tcBorders>
                  <w:noWrap w:val="0"/>
                  <w:vAlign w:val="center"/>
                </w:tcPr>
                <w:p w14:paraId="43C704BB">
                  <w:pPr>
                    <w:spacing w:line="240" w:lineRule="auto"/>
                    <w:ind w:firstLine="0" w:firstLineChars="0"/>
                    <w:jc w:val="center"/>
                    <w:rPr>
                      <w:rFonts w:hint="default" w:ascii="Times New Roman" w:hAnsi="Times New Roman" w:eastAsia="宋体" w:cs="Times New Roman"/>
                      <w:color w:val="auto"/>
                      <w:sz w:val="21"/>
                      <w:szCs w:val="21"/>
                    </w:rPr>
                  </w:pPr>
                </w:p>
              </w:tc>
              <w:tc>
                <w:tcPr>
                  <w:tcW w:w="769" w:type="dxa"/>
                  <w:tcBorders>
                    <w:tl2br w:val="nil"/>
                    <w:tr2bl w:val="nil"/>
                  </w:tcBorders>
                  <w:noWrap w:val="0"/>
                  <w:vAlign w:val="center"/>
                </w:tcPr>
                <w:p w14:paraId="4CB42F96">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45</w:t>
                  </w:r>
                </w:p>
              </w:tc>
            </w:tr>
            <w:tr w14:paraId="3ABB49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22" w:type="pct"/>
                  <w:vMerge w:val="continue"/>
                  <w:tcBorders>
                    <w:tl2br w:val="nil"/>
                    <w:tr2bl w:val="nil"/>
                  </w:tcBorders>
                  <w:noWrap w:val="0"/>
                  <w:vAlign w:val="center"/>
                </w:tcPr>
                <w:p w14:paraId="572D4705">
                  <w:pPr>
                    <w:spacing w:line="240" w:lineRule="auto"/>
                    <w:ind w:firstLine="0" w:firstLineChars="0"/>
                    <w:jc w:val="center"/>
                    <w:rPr>
                      <w:rFonts w:hint="default" w:ascii="Times New Roman" w:hAnsi="Times New Roman" w:eastAsia="宋体" w:cs="Times New Roman"/>
                      <w:color w:val="auto"/>
                      <w:sz w:val="21"/>
                      <w:szCs w:val="21"/>
                    </w:rPr>
                  </w:pPr>
                </w:p>
              </w:tc>
              <w:tc>
                <w:tcPr>
                  <w:tcW w:w="263" w:type="pct"/>
                  <w:vMerge w:val="continue"/>
                  <w:tcBorders>
                    <w:tl2br w:val="nil"/>
                    <w:tr2bl w:val="nil"/>
                  </w:tcBorders>
                  <w:noWrap w:val="0"/>
                  <w:vAlign w:val="center"/>
                </w:tcPr>
                <w:p w14:paraId="58F0C4B0">
                  <w:pPr>
                    <w:spacing w:line="240" w:lineRule="auto"/>
                    <w:ind w:firstLine="0" w:firstLineChars="0"/>
                    <w:jc w:val="center"/>
                    <w:rPr>
                      <w:rFonts w:hint="default" w:ascii="Times New Roman" w:hAnsi="Times New Roman" w:eastAsia="宋体" w:cs="Times New Roman"/>
                      <w:color w:val="auto"/>
                      <w:sz w:val="21"/>
                      <w:szCs w:val="21"/>
                    </w:rPr>
                  </w:pPr>
                </w:p>
              </w:tc>
              <w:tc>
                <w:tcPr>
                  <w:tcW w:w="867" w:type="pct"/>
                  <w:vMerge w:val="continue"/>
                  <w:tcBorders>
                    <w:tl2br w:val="nil"/>
                    <w:tr2bl w:val="nil"/>
                  </w:tcBorders>
                  <w:noWrap w:val="0"/>
                  <w:vAlign w:val="center"/>
                </w:tcPr>
                <w:p w14:paraId="03F944D1">
                  <w:pPr>
                    <w:spacing w:line="240" w:lineRule="auto"/>
                    <w:ind w:firstLine="0" w:firstLineChars="0"/>
                    <w:jc w:val="center"/>
                    <w:rPr>
                      <w:rFonts w:hint="default" w:ascii="Times New Roman" w:hAnsi="Times New Roman" w:eastAsia="宋体" w:cs="Times New Roman"/>
                      <w:color w:val="auto"/>
                      <w:sz w:val="21"/>
                      <w:szCs w:val="21"/>
                    </w:rPr>
                  </w:pPr>
                </w:p>
              </w:tc>
              <w:tc>
                <w:tcPr>
                  <w:tcW w:w="1042" w:type="pct"/>
                  <w:vMerge w:val="continue"/>
                  <w:tcBorders>
                    <w:tl2br w:val="nil"/>
                    <w:tr2bl w:val="nil"/>
                  </w:tcBorders>
                  <w:noWrap w:val="0"/>
                  <w:vAlign w:val="center"/>
                </w:tcPr>
                <w:p w14:paraId="2E82BE54">
                  <w:pPr>
                    <w:spacing w:line="240" w:lineRule="auto"/>
                    <w:ind w:firstLine="0" w:firstLineChars="0"/>
                    <w:jc w:val="center"/>
                    <w:rPr>
                      <w:rFonts w:hint="default" w:ascii="Times New Roman" w:hAnsi="Times New Roman" w:eastAsia="宋体" w:cs="Times New Roman"/>
                      <w:color w:val="auto"/>
                      <w:sz w:val="21"/>
                      <w:szCs w:val="21"/>
                    </w:rPr>
                  </w:pPr>
                </w:p>
              </w:tc>
              <w:tc>
                <w:tcPr>
                  <w:tcW w:w="310" w:type="pct"/>
                  <w:vMerge w:val="continue"/>
                  <w:tcBorders>
                    <w:tl2br w:val="nil"/>
                    <w:tr2bl w:val="nil"/>
                  </w:tcBorders>
                  <w:noWrap w:val="0"/>
                  <w:vAlign w:val="center"/>
                </w:tcPr>
                <w:p w14:paraId="1A62EFF3">
                  <w:pPr>
                    <w:spacing w:line="240" w:lineRule="auto"/>
                    <w:ind w:firstLine="0" w:firstLineChars="0"/>
                    <w:jc w:val="center"/>
                    <w:rPr>
                      <w:rFonts w:hint="default" w:ascii="Times New Roman" w:hAnsi="Times New Roman" w:eastAsia="宋体" w:cs="Times New Roman"/>
                      <w:color w:val="auto"/>
                      <w:sz w:val="21"/>
                      <w:szCs w:val="21"/>
                    </w:rPr>
                  </w:pPr>
                </w:p>
              </w:tc>
              <w:tc>
                <w:tcPr>
                  <w:tcW w:w="234" w:type="pct"/>
                  <w:vMerge w:val="continue"/>
                  <w:tcBorders>
                    <w:tl2br w:val="nil"/>
                    <w:tr2bl w:val="nil"/>
                  </w:tcBorders>
                  <w:noWrap w:val="0"/>
                  <w:vAlign w:val="center"/>
                </w:tcPr>
                <w:p w14:paraId="0E6E60B3">
                  <w:pPr>
                    <w:spacing w:line="240" w:lineRule="auto"/>
                    <w:ind w:firstLine="0" w:firstLineChars="0"/>
                    <w:jc w:val="center"/>
                    <w:rPr>
                      <w:rFonts w:hint="default" w:ascii="Times New Roman" w:hAnsi="Times New Roman" w:eastAsia="宋体" w:cs="Times New Roman"/>
                      <w:color w:val="auto"/>
                      <w:sz w:val="21"/>
                      <w:szCs w:val="21"/>
                    </w:rPr>
                  </w:pPr>
                </w:p>
              </w:tc>
              <w:tc>
                <w:tcPr>
                  <w:tcW w:w="322" w:type="pct"/>
                  <w:tcBorders>
                    <w:tl2br w:val="nil"/>
                    <w:tr2bl w:val="nil"/>
                  </w:tcBorders>
                  <w:noWrap w:val="0"/>
                  <w:vAlign w:val="center"/>
                </w:tcPr>
                <w:p w14:paraId="56C7760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TP</w:t>
                  </w:r>
                </w:p>
              </w:tc>
              <w:tc>
                <w:tcPr>
                  <w:tcW w:w="603" w:type="dxa"/>
                  <w:tcBorders>
                    <w:tl2br w:val="nil"/>
                    <w:tr2bl w:val="nil"/>
                  </w:tcBorders>
                  <w:noWrap w:val="0"/>
                  <w:vAlign w:val="center"/>
                </w:tcPr>
                <w:p w14:paraId="526C5FD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06" w:type="dxa"/>
                  <w:tcBorders>
                    <w:tl2br w:val="nil"/>
                    <w:tr2bl w:val="nil"/>
                  </w:tcBorders>
                  <w:noWrap w:val="0"/>
                  <w:vAlign w:val="center"/>
                </w:tcPr>
                <w:p w14:paraId="4739DD2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355" w:type="pct"/>
                  <w:vMerge w:val="continue"/>
                  <w:tcBorders>
                    <w:tl2br w:val="nil"/>
                    <w:tr2bl w:val="nil"/>
                  </w:tcBorders>
                  <w:noWrap w:val="0"/>
                  <w:vAlign w:val="center"/>
                </w:tcPr>
                <w:p w14:paraId="4452C414">
                  <w:pPr>
                    <w:spacing w:line="240" w:lineRule="auto"/>
                    <w:ind w:firstLine="0" w:firstLineChars="0"/>
                    <w:jc w:val="center"/>
                    <w:rPr>
                      <w:rFonts w:hint="default" w:ascii="Times New Roman" w:hAnsi="Times New Roman" w:eastAsia="宋体" w:cs="Times New Roman"/>
                      <w:color w:val="auto"/>
                      <w:sz w:val="21"/>
                      <w:szCs w:val="21"/>
                    </w:rPr>
                  </w:pPr>
                </w:p>
              </w:tc>
              <w:tc>
                <w:tcPr>
                  <w:tcW w:w="769" w:type="dxa"/>
                  <w:tcBorders>
                    <w:tl2br w:val="nil"/>
                    <w:tr2bl w:val="nil"/>
                  </w:tcBorders>
                  <w:noWrap w:val="0"/>
                  <w:vAlign w:val="center"/>
                </w:tcPr>
                <w:p w14:paraId="0F3DCD2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4</w:t>
                  </w:r>
                </w:p>
              </w:tc>
            </w:tr>
          </w:tbl>
          <w:p w14:paraId="0A4DCDB6">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废水</w:t>
            </w:r>
            <w:r>
              <w:rPr>
                <w:rFonts w:hint="default" w:ascii="Times New Roman" w:hAnsi="Times New Roman" w:eastAsia="宋体" w:cs="Times New Roman"/>
                <w:b/>
                <w:bCs/>
                <w:color w:val="auto"/>
                <w:sz w:val="21"/>
                <w:szCs w:val="21"/>
                <w:lang w:val="en-US" w:eastAsia="zh-CN"/>
              </w:rPr>
              <w:t>产生</w:t>
            </w:r>
            <w:r>
              <w:rPr>
                <w:rFonts w:hint="default" w:ascii="Times New Roman" w:hAnsi="Times New Roman" w:eastAsia="宋体" w:cs="Times New Roman"/>
                <w:b/>
                <w:bCs/>
                <w:color w:val="auto"/>
                <w:sz w:val="21"/>
                <w:szCs w:val="21"/>
              </w:rPr>
              <w:t>及排放</w:t>
            </w:r>
            <w:r>
              <w:rPr>
                <w:rFonts w:hint="default" w:ascii="Times New Roman" w:hAnsi="Times New Roman" w:eastAsia="宋体" w:cs="Times New Roman"/>
                <w:b/>
                <w:bCs/>
                <w:color w:val="auto"/>
                <w:sz w:val="21"/>
                <w:szCs w:val="21"/>
                <w:lang w:val="en-US" w:eastAsia="zh-CN"/>
              </w:rPr>
              <w:t>情况</w:t>
            </w:r>
            <w:r>
              <w:rPr>
                <w:rFonts w:hint="default" w:ascii="Times New Roman" w:hAnsi="Times New Roman" w:eastAsia="宋体" w:cs="Times New Roman"/>
                <w:b/>
                <w:bCs/>
                <w:color w:val="auto"/>
                <w:sz w:val="21"/>
                <w:szCs w:val="21"/>
              </w:rPr>
              <w:t>一览表</w:t>
            </w:r>
          </w:p>
          <w:tbl>
            <w:tblPr>
              <w:tblStyle w:val="44"/>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637"/>
              <w:gridCol w:w="1185"/>
              <w:gridCol w:w="660"/>
              <w:gridCol w:w="835"/>
              <w:gridCol w:w="852"/>
              <w:gridCol w:w="498"/>
              <w:gridCol w:w="835"/>
              <w:gridCol w:w="899"/>
              <w:gridCol w:w="1649"/>
              <w:gridCol w:w="1200"/>
            </w:tblGrid>
            <w:tr w14:paraId="0FB364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restart"/>
                  <w:noWrap w:val="0"/>
                  <w:vAlign w:val="center"/>
                </w:tcPr>
                <w:p w14:paraId="7E57027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来源</w:t>
                  </w:r>
                </w:p>
              </w:tc>
              <w:tc>
                <w:tcPr>
                  <w:tcW w:w="0" w:type="auto"/>
                  <w:vMerge w:val="restart"/>
                  <w:noWrap w:val="0"/>
                  <w:vAlign w:val="center"/>
                </w:tcPr>
                <w:p w14:paraId="0932BEB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水量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/a</w:t>
                  </w:r>
                  <w:r>
                    <w:rPr>
                      <w:rFonts w:hint="default" w:ascii="Times New Roman" w:hAnsi="Times New Roman" w:eastAsia="宋体" w:cs="Times New Roman"/>
                      <w:b/>
                      <w:bCs/>
                      <w:color w:val="auto"/>
                      <w:sz w:val="21"/>
                      <w:szCs w:val="21"/>
                      <w:lang w:eastAsia="zh-CN"/>
                    </w:rPr>
                    <w:t>）</w:t>
                  </w:r>
                </w:p>
              </w:tc>
              <w:tc>
                <w:tcPr>
                  <w:tcW w:w="0" w:type="auto"/>
                  <w:vMerge w:val="restart"/>
                  <w:noWrap w:val="0"/>
                  <w:vAlign w:val="center"/>
                </w:tcPr>
                <w:p w14:paraId="525DA56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w:t>
                  </w:r>
                </w:p>
                <w:p w14:paraId="29E8B9A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因子</w:t>
                  </w:r>
                </w:p>
              </w:tc>
              <w:tc>
                <w:tcPr>
                  <w:tcW w:w="0" w:type="auto"/>
                  <w:gridSpan w:val="2"/>
                  <w:noWrap w:val="0"/>
                  <w:vAlign w:val="center"/>
                </w:tcPr>
                <w:p w14:paraId="0E8CA16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污染物产生量</w:t>
                  </w:r>
                </w:p>
              </w:tc>
              <w:tc>
                <w:tcPr>
                  <w:tcW w:w="0" w:type="auto"/>
                  <w:vMerge w:val="restart"/>
                  <w:noWrap w:val="0"/>
                  <w:vAlign w:val="center"/>
                </w:tcPr>
                <w:p w14:paraId="14CBED0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w:t>
                  </w:r>
                </w:p>
                <w:p w14:paraId="7F598F13">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措施</w:t>
                  </w:r>
                </w:p>
              </w:tc>
              <w:tc>
                <w:tcPr>
                  <w:tcW w:w="0" w:type="auto"/>
                  <w:gridSpan w:val="2"/>
                  <w:noWrap w:val="0"/>
                  <w:vAlign w:val="center"/>
                </w:tcPr>
                <w:p w14:paraId="74DAE5B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污染物排放量</w:t>
                  </w:r>
                </w:p>
              </w:tc>
              <w:tc>
                <w:tcPr>
                  <w:tcW w:w="0" w:type="auto"/>
                  <w:vMerge w:val="restart"/>
                  <w:noWrap w:val="0"/>
                  <w:vAlign w:val="center"/>
                </w:tcPr>
                <w:p w14:paraId="72B834F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接管标准浓度限值</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mg/L</w:t>
                  </w:r>
                  <w:r>
                    <w:rPr>
                      <w:rFonts w:hint="default" w:ascii="Times New Roman" w:hAnsi="Times New Roman" w:eastAsia="宋体" w:cs="Times New Roman"/>
                      <w:b/>
                      <w:bCs/>
                      <w:color w:val="auto"/>
                      <w:sz w:val="21"/>
                      <w:szCs w:val="21"/>
                      <w:lang w:eastAsia="zh-CN"/>
                    </w:rPr>
                    <w:t>）</w:t>
                  </w:r>
                </w:p>
              </w:tc>
              <w:tc>
                <w:tcPr>
                  <w:tcW w:w="0" w:type="auto"/>
                  <w:vMerge w:val="restart"/>
                  <w:noWrap w:val="0"/>
                  <w:vAlign w:val="center"/>
                </w:tcPr>
                <w:p w14:paraId="2CFE982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w:t>
                  </w:r>
                </w:p>
                <w:p w14:paraId="4C8CB0C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去向</w:t>
                  </w:r>
                </w:p>
              </w:tc>
            </w:tr>
            <w:tr w14:paraId="5EC803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417393F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71C8A66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58C2016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566988C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1AE1998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(mg/L)</w:t>
                  </w:r>
                </w:p>
              </w:tc>
              <w:tc>
                <w:tcPr>
                  <w:tcW w:w="0" w:type="auto"/>
                  <w:tcBorders>
                    <w:bottom w:val="single" w:color="auto" w:sz="2" w:space="0"/>
                  </w:tcBorders>
                  <w:noWrap w:val="0"/>
                  <w:vAlign w:val="center"/>
                </w:tcPr>
                <w:p w14:paraId="52326FB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0" w:type="auto"/>
                  <w:vMerge w:val="continue"/>
                  <w:noWrap w:val="0"/>
                  <w:vAlign w:val="center"/>
                </w:tcPr>
                <w:p w14:paraId="43A0C696">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p>
              </w:tc>
              <w:tc>
                <w:tcPr>
                  <w:tcW w:w="0" w:type="auto"/>
                  <w:noWrap w:val="0"/>
                  <w:vAlign w:val="center"/>
                </w:tcPr>
                <w:p w14:paraId="39E20B9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475784F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(mg/L)</w:t>
                  </w:r>
                </w:p>
              </w:tc>
              <w:tc>
                <w:tcPr>
                  <w:tcW w:w="0" w:type="auto"/>
                  <w:noWrap w:val="0"/>
                  <w:vAlign w:val="center"/>
                </w:tcPr>
                <w:p w14:paraId="144D88F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w:t>
                  </w:r>
                </w:p>
                <w:p w14:paraId="21C7261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0" w:type="auto"/>
                  <w:vMerge w:val="continue"/>
                  <w:noWrap w:val="0"/>
                  <w:vAlign w:val="center"/>
                </w:tcPr>
                <w:p w14:paraId="2A70A86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3213B6C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03DB51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restart"/>
                  <w:noWrap w:val="0"/>
                  <w:vAlign w:val="center"/>
                </w:tcPr>
                <w:p w14:paraId="5C96E40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p>
              </w:tc>
              <w:tc>
                <w:tcPr>
                  <w:tcW w:w="0" w:type="auto"/>
                  <w:vMerge w:val="restart"/>
                  <w:noWrap w:val="0"/>
                  <w:vAlign w:val="center"/>
                </w:tcPr>
                <w:p w14:paraId="7B1FED1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216</w:t>
                  </w:r>
                </w:p>
              </w:tc>
              <w:tc>
                <w:tcPr>
                  <w:tcW w:w="0" w:type="auto"/>
                  <w:noWrap w:val="0"/>
                  <w:vAlign w:val="center"/>
                </w:tcPr>
                <w:p w14:paraId="34C2E84E">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w:t>
                  </w:r>
                </w:p>
              </w:tc>
              <w:tc>
                <w:tcPr>
                  <w:tcW w:w="835" w:type="dxa"/>
                  <w:noWrap w:val="0"/>
                  <w:vAlign w:val="center"/>
                </w:tcPr>
                <w:p w14:paraId="2B5DCAD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p>
              </w:tc>
              <w:tc>
                <w:tcPr>
                  <w:tcW w:w="852" w:type="dxa"/>
                  <w:tcBorders>
                    <w:top w:val="single" w:color="auto" w:sz="2" w:space="0"/>
                  </w:tcBorders>
                  <w:noWrap w:val="0"/>
                  <w:vAlign w:val="center"/>
                </w:tcPr>
                <w:p w14:paraId="60D11D9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0" w:type="auto"/>
                  <w:vMerge w:val="restart"/>
                  <w:noWrap w:val="0"/>
                  <w:vAlign w:val="center"/>
                </w:tcPr>
                <w:p w14:paraId="7F2E43F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35" w:type="dxa"/>
                  <w:noWrap w:val="0"/>
                  <w:vAlign w:val="center"/>
                </w:tcPr>
                <w:p w14:paraId="2942D65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0</w:t>
                  </w:r>
                </w:p>
              </w:tc>
              <w:tc>
                <w:tcPr>
                  <w:tcW w:w="899" w:type="dxa"/>
                  <w:noWrap w:val="0"/>
                  <w:vAlign w:val="center"/>
                </w:tcPr>
                <w:p w14:paraId="3048C8B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649" w:type="dxa"/>
                  <w:noWrap w:val="0"/>
                  <w:vAlign w:val="center"/>
                </w:tcPr>
                <w:p w14:paraId="5E06624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color w:val="auto"/>
                      <w:sz w:val="21"/>
                      <w:szCs w:val="21"/>
                    </w:rPr>
                    <w:t>0</w:t>
                  </w:r>
                </w:p>
              </w:tc>
              <w:tc>
                <w:tcPr>
                  <w:tcW w:w="0" w:type="auto"/>
                  <w:vMerge w:val="restart"/>
                  <w:noWrap w:val="0"/>
                  <w:vAlign w:val="center"/>
                </w:tcPr>
                <w:p w14:paraId="26ECBADE">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常州市金坛儒林污水处理厂</w:t>
                  </w:r>
                </w:p>
              </w:tc>
            </w:tr>
            <w:tr w14:paraId="13A958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7FBC2C6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31AFD51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03EF33C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835" w:type="dxa"/>
                  <w:noWrap w:val="0"/>
                  <w:vAlign w:val="center"/>
                </w:tcPr>
                <w:p w14:paraId="4A229DC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0</w:t>
                  </w:r>
                </w:p>
              </w:tc>
              <w:tc>
                <w:tcPr>
                  <w:tcW w:w="852" w:type="dxa"/>
                  <w:noWrap w:val="0"/>
                  <w:vAlign w:val="center"/>
                </w:tcPr>
                <w:p w14:paraId="100EAA96">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0" w:type="auto"/>
                  <w:vMerge w:val="continue"/>
                  <w:noWrap w:val="0"/>
                  <w:vAlign w:val="center"/>
                </w:tcPr>
                <w:p w14:paraId="10E2DFA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07DFA6D0">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rPr>
                    <w:t>0</w:t>
                  </w:r>
                </w:p>
              </w:tc>
              <w:tc>
                <w:tcPr>
                  <w:tcW w:w="899" w:type="dxa"/>
                  <w:noWrap w:val="0"/>
                  <w:vAlign w:val="center"/>
                </w:tcPr>
                <w:p w14:paraId="09D3950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649" w:type="dxa"/>
                  <w:noWrap w:val="0"/>
                  <w:vAlign w:val="center"/>
                </w:tcPr>
                <w:p w14:paraId="742B406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0</w:t>
                  </w:r>
                </w:p>
              </w:tc>
              <w:tc>
                <w:tcPr>
                  <w:tcW w:w="0" w:type="auto"/>
                  <w:vMerge w:val="continue"/>
                  <w:noWrap w:val="0"/>
                  <w:vAlign w:val="center"/>
                </w:tcPr>
                <w:p w14:paraId="0801DB1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r>
            <w:tr w14:paraId="061C616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2AF1ACE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039AB014">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3AD86BD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835" w:type="dxa"/>
                  <w:noWrap w:val="0"/>
                  <w:vAlign w:val="center"/>
                </w:tcPr>
                <w:p w14:paraId="0DFFA2E5">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25</w:t>
                  </w:r>
                </w:p>
              </w:tc>
              <w:tc>
                <w:tcPr>
                  <w:tcW w:w="852" w:type="dxa"/>
                  <w:noWrap w:val="0"/>
                  <w:vAlign w:val="center"/>
                </w:tcPr>
                <w:p w14:paraId="1EDBFEB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0" w:type="auto"/>
                  <w:vMerge w:val="continue"/>
                  <w:noWrap w:val="0"/>
                  <w:vAlign w:val="center"/>
                </w:tcPr>
                <w:p w14:paraId="3BC10E6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1519F7EB">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99" w:type="dxa"/>
                  <w:noWrap w:val="0"/>
                  <w:vAlign w:val="center"/>
                </w:tcPr>
                <w:p w14:paraId="2E6305F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649" w:type="dxa"/>
                  <w:noWrap w:val="0"/>
                  <w:vAlign w:val="center"/>
                </w:tcPr>
                <w:p w14:paraId="643E6D0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0" w:type="auto"/>
                  <w:vMerge w:val="continue"/>
                  <w:noWrap w:val="0"/>
                  <w:vAlign w:val="center"/>
                </w:tcPr>
                <w:p w14:paraId="0B396342">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r>
            <w:tr w14:paraId="5351FB0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7233624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6C2CBB91">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4CB16A2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TN</w:t>
                  </w:r>
                </w:p>
              </w:tc>
              <w:tc>
                <w:tcPr>
                  <w:tcW w:w="835" w:type="dxa"/>
                  <w:noWrap w:val="0"/>
                  <w:vAlign w:val="center"/>
                </w:tcPr>
                <w:p w14:paraId="142107D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35</w:t>
                  </w:r>
                </w:p>
              </w:tc>
              <w:tc>
                <w:tcPr>
                  <w:tcW w:w="852" w:type="dxa"/>
                  <w:noWrap w:val="0"/>
                  <w:vAlign w:val="center"/>
                </w:tcPr>
                <w:p w14:paraId="7150957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0" w:type="auto"/>
                  <w:vMerge w:val="continue"/>
                  <w:noWrap w:val="0"/>
                  <w:vAlign w:val="center"/>
                </w:tcPr>
                <w:p w14:paraId="63A0A28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66932517">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899" w:type="dxa"/>
                  <w:noWrap w:val="0"/>
                  <w:vAlign w:val="center"/>
                </w:tcPr>
                <w:p w14:paraId="557EDEC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649" w:type="dxa"/>
                  <w:noWrap w:val="0"/>
                  <w:vAlign w:val="center"/>
                </w:tcPr>
                <w:p w14:paraId="11BACCF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45</w:t>
                  </w:r>
                </w:p>
              </w:tc>
              <w:tc>
                <w:tcPr>
                  <w:tcW w:w="0" w:type="auto"/>
                  <w:vMerge w:val="continue"/>
                  <w:noWrap w:val="0"/>
                  <w:vAlign w:val="center"/>
                </w:tcPr>
                <w:p w14:paraId="7E86982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r>
            <w:tr w14:paraId="588BC1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0" w:type="auto"/>
                  <w:vMerge w:val="continue"/>
                  <w:noWrap w:val="0"/>
                  <w:vAlign w:val="center"/>
                </w:tcPr>
                <w:p w14:paraId="6916EF18">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noWrap w:val="0"/>
                  <w:vAlign w:val="center"/>
                </w:tcPr>
                <w:p w14:paraId="1FDC749F">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noWrap w:val="0"/>
                  <w:vAlign w:val="center"/>
                </w:tcPr>
                <w:p w14:paraId="6556F1BD">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TP</w:t>
                  </w:r>
                </w:p>
              </w:tc>
              <w:tc>
                <w:tcPr>
                  <w:tcW w:w="835" w:type="dxa"/>
                  <w:noWrap w:val="0"/>
                  <w:vAlign w:val="center"/>
                </w:tcPr>
                <w:p w14:paraId="4B9B8BCC">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2.5</w:t>
                  </w:r>
                </w:p>
              </w:tc>
              <w:tc>
                <w:tcPr>
                  <w:tcW w:w="852" w:type="dxa"/>
                  <w:noWrap w:val="0"/>
                  <w:vAlign w:val="center"/>
                </w:tcPr>
                <w:p w14:paraId="4850FF7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0" w:type="auto"/>
                  <w:vMerge w:val="continue"/>
                  <w:noWrap w:val="0"/>
                  <w:vAlign w:val="center"/>
                </w:tcPr>
                <w:p w14:paraId="08EC4429">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835" w:type="dxa"/>
                  <w:noWrap w:val="0"/>
                  <w:vAlign w:val="center"/>
                </w:tcPr>
                <w:p w14:paraId="573E5A22">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899" w:type="dxa"/>
                  <w:noWrap w:val="0"/>
                  <w:vAlign w:val="center"/>
                </w:tcPr>
                <w:p w14:paraId="1F4851D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649" w:type="dxa"/>
                  <w:noWrap w:val="0"/>
                  <w:vAlign w:val="center"/>
                </w:tcPr>
                <w:p w14:paraId="503762EA">
                  <w:pPr>
                    <w:pStyle w:val="18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4</w:t>
                  </w:r>
                </w:p>
              </w:tc>
              <w:tc>
                <w:tcPr>
                  <w:tcW w:w="0" w:type="auto"/>
                  <w:vMerge w:val="continue"/>
                  <w:noWrap w:val="0"/>
                  <w:vAlign w:val="center"/>
                </w:tcPr>
                <w:p w14:paraId="7BA22D2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r>
          </w:tbl>
          <w:p w14:paraId="503FEC3F">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1.3废污水接管措施及可行性</w:t>
            </w:r>
          </w:p>
          <w:p w14:paraId="0ED3C86A">
            <w:pPr>
              <w:ind w:firstLine="0" w:firstLineChars="0"/>
              <w:rPr>
                <w:rFonts w:hint="default" w:ascii="Times New Roman" w:hAnsi="Times New Roman" w:eastAsia="宋体" w:cs="Times New Roman"/>
                <w:b/>
                <w:color w:val="auto"/>
                <w:sz w:val="24"/>
                <w:szCs w:val="24"/>
              </w:rPr>
            </w:pPr>
            <w:r>
              <w:rPr>
                <w:rFonts w:hint="default" w:ascii="Times New Roman" w:hAnsi="Times New Roman" w:eastAsia="宋体" w:cs="Times New Roman"/>
                <w:b/>
                <w:bCs/>
                <w:color w:val="auto"/>
                <w:sz w:val="24"/>
                <w:szCs w:val="24"/>
              </w:rPr>
              <w:t>1.3.1废水接管情况</w:t>
            </w:r>
          </w:p>
          <w:p w14:paraId="394255EB">
            <w:pPr>
              <w:ind w:firstLine="420"/>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rPr>
              <w:t>本项目无</w:t>
            </w:r>
            <w:r>
              <w:rPr>
                <w:rFonts w:hint="default" w:ascii="Times New Roman" w:hAnsi="Times New Roman" w:eastAsia="宋体" w:cs="Times New Roman"/>
                <w:color w:val="auto"/>
                <w:sz w:val="24"/>
                <w:szCs w:val="24"/>
                <w:lang w:val="en-US" w:eastAsia="zh-CN"/>
              </w:rPr>
              <w:t>其他</w:t>
            </w:r>
            <w:r>
              <w:rPr>
                <w:rFonts w:hint="default" w:ascii="Times New Roman" w:hAnsi="Times New Roman" w:eastAsia="宋体" w:cs="Times New Roman"/>
                <w:color w:val="auto"/>
                <w:sz w:val="24"/>
                <w:szCs w:val="24"/>
              </w:rPr>
              <w:t>生产废水排放，生活污水接管进</w:t>
            </w:r>
            <w:r>
              <w:rPr>
                <w:rFonts w:hint="default" w:ascii="Times New Roman" w:hAnsi="Times New Roman" w:eastAsia="宋体"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集中处理，处理达标后尾水排入</w:t>
            </w:r>
            <w:r>
              <w:rPr>
                <w:rFonts w:hint="default" w:ascii="Times New Roman" w:hAnsi="Times New Roman" w:eastAsia="宋体" w:cs="Times New Roman"/>
                <w:color w:val="auto"/>
                <w:sz w:val="24"/>
                <w:szCs w:val="24"/>
                <w:lang w:val="en-US" w:eastAsia="zh-CN"/>
              </w:rPr>
              <w:t>儒林</w:t>
            </w:r>
            <w:r>
              <w:rPr>
                <w:rFonts w:hint="default" w:ascii="Times New Roman" w:hAnsi="Times New Roman" w:eastAsia="宋体" w:cs="Times New Roman"/>
                <w:color w:val="auto"/>
                <w:sz w:val="24"/>
                <w:szCs w:val="24"/>
                <w:lang w:eastAsia="zh-CN"/>
              </w:rPr>
              <w:t>河</w:t>
            </w:r>
            <w:r>
              <w:rPr>
                <w:rFonts w:hint="default" w:ascii="Times New Roman" w:hAnsi="Times New Roman" w:eastAsia="宋体" w:cs="Times New Roman"/>
                <w:color w:val="auto"/>
                <w:sz w:val="24"/>
                <w:szCs w:val="24"/>
              </w:rPr>
              <w:t>。</w:t>
            </w:r>
          </w:p>
          <w:p w14:paraId="6A6C2FE4">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1.3.2接管可行性分析</w:t>
            </w:r>
          </w:p>
          <w:p w14:paraId="6816E7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1</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管网建设情况</w:t>
            </w:r>
          </w:p>
          <w:p w14:paraId="35BA9C3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lang w:eastAsia="zh-CN"/>
              </w:rPr>
              <w:t>常州金坛儒林污水处理厂位于儒林镇S239与儒林河相交处以东，主要收纳金坛区儒林工业园生活污水和少量工业废水。本项目所在地属于该污水处理厂的服务范围内，目前项目所在地的污水管网已经铺设到位，本项目废水可由市政污水管网接入，最终纳入常州金坛儒林污水处理厂集中处理。</w:t>
            </w:r>
          </w:p>
          <w:p w14:paraId="4DBAEE6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lang w:eastAsia="zh-CN"/>
              </w:rPr>
              <w:t>）污水处理厂处理工艺可行性分析</w:t>
            </w:r>
          </w:p>
          <w:p w14:paraId="6A852E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污水处理采用“预处理+改良A/A/0+A/0（生化池）+二沉池+高效沉淀池+深床反硝化滤池+次酸钠消毒”工艺，污水处理厂尾水执行《城镇污水处理厂污染物排放标准》（GB18918-2002）一级A标准及《太湖地区城镇污水处理厂及重点工业行业重要水污染物排放限值》（DB32/1072-2018）标准，排入儒林河。</w:t>
            </w:r>
          </w:p>
          <w:p w14:paraId="09945AD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（3）接管水量可行性</w:t>
            </w:r>
          </w:p>
          <w:p w14:paraId="5C4B86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常州金坛儒林污水处理厂目前实际处理量约</w:t>
            </w:r>
            <w:r>
              <w:rPr>
                <w:rFonts w:hint="eastAsia" w:cs="Times New Roman"/>
                <w:bCs/>
                <w:color w:val="auto"/>
                <w:sz w:val="24"/>
                <w:highlight w:val="none"/>
                <w:lang w:val="en-US" w:eastAsia="zh-CN"/>
              </w:rPr>
              <w:t>0.5</w:t>
            </w:r>
            <w:r>
              <w:rPr>
                <w:rFonts w:hint="default" w:ascii="Times New Roman" w:hAnsi="Times New Roman" w:eastAsia="宋体" w:cs="Times New Roman"/>
                <w:bCs/>
                <w:color w:val="auto"/>
                <w:sz w:val="24"/>
                <w:highlight w:val="none"/>
                <w:lang w:val="en-US" w:eastAsia="zh-CN"/>
              </w:rPr>
              <w:t>万吨/日，还有余量0.</w:t>
            </w:r>
            <w:r>
              <w:rPr>
                <w:rFonts w:hint="eastAsia" w:cs="Times New Roman"/>
                <w:bCs/>
                <w:color w:val="auto"/>
                <w:sz w:val="24"/>
                <w:highlight w:val="none"/>
                <w:lang w:val="en-US" w:eastAsia="zh-CN"/>
              </w:rPr>
              <w:t>1</w:t>
            </w:r>
            <w:r>
              <w:rPr>
                <w:rFonts w:hint="default" w:ascii="Times New Roman" w:hAnsi="Times New Roman" w:eastAsia="宋体" w:cs="Times New Roman"/>
                <w:bCs/>
                <w:color w:val="auto"/>
                <w:sz w:val="24"/>
                <w:highlight w:val="none"/>
                <w:lang w:val="en-US" w:eastAsia="zh-CN"/>
              </w:rPr>
              <w:t>万吨/日。本项目废水排放总量约为</w:t>
            </w:r>
            <w:r>
              <w:rPr>
                <w:rFonts w:hint="eastAsia" w:cs="Times New Roman"/>
                <w:bCs/>
                <w:color w:val="auto"/>
                <w:sz w:val="24"/>
                <w:highlight w:val="none"/>
                <w:lang w:val="en-US" w:eastAsia="zh-CN"/>
              </w:rPr>
              <w:t>216</w:t>
            </w:r>
            <w:r>
              <w:rPr>
                <w:rFonts w:hint="default" w:ascii="Times New Roman" w:hAnsi="Times New Roman" w:eastAsia="宋体" w:cs="Times New Roman"/>
                <w:bCs/>
                <w:color w:val="auto"/>
                <w:sz w:val="24"/>
                <w:highlight w:val="none"/>
                <w:lang w:val="en-US" w:eastAsia="zh-CN"/>
              </w:rPr>
              <w:t>t/a（0.</w:t>
            </w:r>
            <w:r>
              <w:rPr>
                <w:rFonts w:hint="eastAsia" w:cs="Times New Roman"/>
                <w:bCs/>
                <w:color w:val="auto"/>
                <w:sz w:val="24"/>
                <w:highlight w:val="none"/>
                <w:lang w:val="en-US" w:eastAsia="zh-CN"/>
              </w:rPr>
              <w:t>72</w:t>
            </w:r>
            <w:r>
              <w:rPr>
                <w:rFonts w:hint="default" w:ascii="Times New Roman" w:hAnsi="Times New Roman" w:eastAsia="宋体" w:cs="Times New Roman"/>
                <w:bCs/>
                <w:color w:val="auto"/>
                <w:sz w:val="24"/>
                <w:highlight w:val="none"/>
                <w:lang w:val="en-US" w:eastAsia="zh-CN"/>
              </w:rPr>
              <w:t>t/d），占常州金坛儒林污水处理厂日处理余量的比例极小，常州金坛儒林污水处理厂完全有能力接纳本项目污水。</w:t>
            </w:r>
          </w:p>
          <w:p w14:paraId="59AEF68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（4）接管水质可行性</w:t>
            </w:r>
          </w:p>
          <w:p w14:paraId="7EDBC7F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本项目建成后接管废水为生活污水，废水排放浓度低、水量小、水质简单，不会对污水处理厂运行产生冲击负荷，不影响污水处理厂出水水质。</w:t>
            </w:r>
          </w:p>
          <w:p w14:paraId="17CE2C6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highlight w:val="none"/>
                <w:lang w:val="en-US" w:eastAsia="zh-CN"/>
              </w:rPr>
              <w:t>综上所述，本项目污水管网均已铺设完毕，从接管时间、服务范围、处理工艺以及水量水质来看，本项目运营后污水接入</w:t>
            </w:r>
            <w:r>
              <w:rPr>
                <w:rFonts w:hint="default" w:ascii="Times New Roman" w:hAnsi="Times New Roman" w:eastAsia="宋体" w:cs="Times New Roman"/>
                <w:color w:val="auto"/>
                <w:kern w:val="0"/>
                <w:sz w:val="24"/>
                <w:lang w:eastAsia="zh-CN"/>
              </w:rPr>
              <w:t>常州金坛儒林污水处理厂</w:t>
            </w:r>
            <w:r>
              <w:rPr>
                <w:rFonts w:hint="default" w:ascii="Times New Roman" w:hAnsi="Times New Roman" w:eastAsia="宋体" w:cs="Times New Roman"/>
                <w:bCs/>
                <w:color w:val="auto"/>
                <w:sz w:val="24"/>
                <w:highlight w:val="none"/>
                <w:lang w:val="en-US" w:eastAsia="zh-CN"/>
              </w:rPr>
              <w:t>处理是可行的。</w:t>
            </w:r>
          </w:p>
          <w:p w14:paraId="7CEFAD19">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排污口规范化设置</w:t>
            </w:r>
          </w:p>
          <w:p w14:paraId="66C4FF3D">
            <w:pPr>
              <w:pStyle w:val="2"/>
              <w:keepNext w:val="0"/>
              <w:keepLines w:val="0"/>
              <w:pageBreakBefore w:val="0"/>
              <w:widowControl w:val="0"/>
              <w:kinsoku/>
              <w:wordWrap/>
              <w:overflowPunct/>
              <w:topLinePunct w:val="0"/>
              <w:autoSpaceDE/>
              <w:autoSpaceDN/>
              <w:bidi w:val="0"/>
              <w:adjustRightInd/>
              <w:snapToGrid/>
              <w:spacing w:after="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eastAsia="zh-CN"/>
              </w:rPr>
              <w:t>依托园区现有</w:t>
            </w:r>
            <w:r>
              <w:rPr>
                <w:rFonts w:hint="default" w:ascii="Times New Roman" w:hAnsi="Times New Roman" w:eastAsia="宋体" w:cs="Times New Roman"/>
                <w:color w:val="auto"/>
                <w:sz w:val="24"/>
                <w:szCs w:val="24"/>
              </w:rPr>
              <w:t>雨水和污水排放口，不改变现有排水系统。目前项目所在地内已实施“雨污分流”，并设置规范化雨水排放口。</w:t>
            </w:r>
          </w:p>
          <w:p w14:paraId="02957C2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环境影响分析小结</w:t>
            </w:r>
          </w:p>
          <w:p w14:paraId="173B7361">
            <w:pPr>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本项目生活污水接管至</w:t>
            </w:r>
            <w:r>
              <w:rPr>
                <w:rFonts w:hint="default" w:ascii="Times New Roman" w:hAnsi="Times New Roman" w:eastAsia="宋体" w:cs="Times New Roman"/>
                <w:color w:val="auto"/>
                <w:sz w:val="24"/>
                <w:szCs w:val="24"/>
                <w:lang w:eastAsia="zh-CN"/>
              </w:rPr>
              <w:t>常州市金坛儒林污水处理厂</w:t>
            </w:r>
            <w:r>
              <w:rPr>
                <w:rFonts w:hint="default" w:ascii="Times New Roman" w:hAnsi="Times New Roman" w:eastAsia="宋体" w:cs="Times New Roman"/>
                <w:color w:val="auto"/>
                <w:sz w:val="24"/>
                <w:szCs w:val="24"/>
              </w:rPr>
              <w:t>集中处理，尾水排入</w:t>
            </w:r>
            <w:r>
              <w:rPr>
                <w:rFonts w:hint="default" w:ascii="Times New Roman" w:hAnsi="Times New Roman" w:eastAsia="宋体" w:cs="Times New Roman"/>
                <w:color w:val="auto"/>
                <w:sz w:val="24"/>
                <w:szCs w:val="24"/>
                <w:lang w:val="en-US" w:eastAsia="zh-CN"/>
              </w:rPr>
              <w:t>儒林</w:t>
            </w:r>
            <w:r>
              <w:rPr>
                <w:rFonts w:hint="default" w:ascii="Times New Roman" w:hAnsi="Times New Roman" w:eastAsia="宋体" w:cs="Times New Roman"/>
                <w:color w:val="auto"/>
                <w:sz w:val="24"/>
                <w:szCs w:val="24"/>
              </w:rPr>
              <w:t>河。本项目废水排放对地表水环境影响很小，是可以接受的。</w:t>
            </w:r>
          </w:p>
          <w:p w14:paraId="2F44C6C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2、废气</w:t>
            </w:r>
          </w:p>
          <w:p w14:paraId="4057D0C3">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2.1废气产生情况</w:t>
            </w:r>
          </w:p>
          <w:p w14:paraId="3EE1F4C0">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2.1.1源强核算过程</w:t>
            </w:r>
          </w:p>
          <w:p w14:paraId="00D74585">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color w:val="auto"/>
                <w:sz w:val="24"/>
                <w:szCs w:val="24"/>
                <w:lang w:val="en-US" w:eastAsia="zh-CN"/>
              </w:rPr>
              <w:t>1、</w:t>
            </w:r>
            <w:r>
              <w:rPr>
                <w:rFonts w:hint="default" w:ascii="Times New Roman" w:hAnsi="Times New Roman" w:eastAsia="宋体" w:cs="Times New Roman"/>
                <w:b/>
                <w:color w:val="auto"/>
                <w:sz w:val="24"/>
                <w:szCs w:val="24"/>
              </w:rPr>
              <w:t>有组织废气</w:t>
            </w:r>
          </w:p>
          <w:p w14:paraId="7BB5C2D5">
            <w:pPr>
              <w:pStyle w:val="2"/>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b/>
                <w:bCs/>
                <w:color w:val="auto"/>
                <w:sz w:val="24"/>
                <w:szCs w:val="24"/>
                <w:lang w:val="en-US" w:bidi="ar"/>
              </w:rPr>
            </w:pPr>
            <w:r>
              <w:rPr>
                <w:rFonts w:hint="default" w:ascii="Times New Roman" w:hAnsi="Times New Roman" w:eastAsia="宋体" w:cs="Times New Roman"/>
                <w:b/>
                <w:bCs/>
                <w:color w:val="auto"/>
                <w:sz w:val="24"/>
                <w:szCs w:val="24"/>
                <w:lang w:val="en-US" w:eastAsia="zh-CN"/>
              </w:rPr>
              <w:t>（1）投料粉尘G1</w:t>
            </w:r>
          </w:p>
          <w:p w14:paraId="3E22C5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sz w:val="24"/>
                <w:szCs w:val="24"/>
                <w:lang w:val="en-US" w:eastAsia="zh-CN"/>
              </w:rPr>
              <w:t>项目投料过程中会产生粉尘</w:t>
            </w:r>
            <w:r>
              <w:rPr>
                <w:rFonts w:hint="eastAsia" w:cs="Times New Roman"/>
                <w:color w:val="auto"/>
                <w:sz w:val="24"/>
                <w:szCs w:val="24"/>
                <w:lang w:val="en-US" w:eastAsia="zh-CN"/>
              </w:rPr>
              <w:t>（含拆包产生的粉尘）</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根据企业提供的材料，投料工序中所投加的粉末状原料量约为</w:t>
            </w:r>
            <w:r>
              <w:rPr>
                <w:rFonts w:hint="eastAsia" w:cs="Times New Roman"/>
                <w:b w:val="0"/>
                <w:bCs w:val="0"/>
                <w:color w:val="auto"/>
                <w:sz w:val="24"/>
                <w:szCs w:val="24"/>
                <w:lang w:val="en-US" w:eastAsia="zh-CN"/>
              </w:rPr>
              <w:t>95</w:t>
            </w:r>
            <w:r>
              <w:rPr>
                <w:rFonts w:hint="default" w:ascii="Times New Roman" w:hAnsi="Times New Roman" w:eastAsia="宋体" w:cs="Times New Roman"/>
                <w:b w:val="0"/>
                <w:bCs w:val="0"/>
                <w:color w:val="auto"/>
                <w:sz w:val="24"/>
                <w:szCs w:val="24"/>
                <w:lang w:val="en-US" w:eastAsia="zh-CN"/>
              </w:rPr>
              <w:t>0t/a</w:t>
            </w:r>
            <w:r>
              <w:rPr>
                <w:rFonts w:hint="eastAsia" w:cs="Times New Roman"/>
                <w:b w:val="0"/>
                <w:bCs w:val="0"/>
                <w:color w:val="auto"/>
                <w:sz w:val="24"/>
                <w:szCs w:val="24"/>
                <w:lang w:val="en-US" w:eastAsia="zh-CN"/>
              </w:rPr>
              <w:t>（包括PVC、</w:t>
            </w:r>
            <w:r>
              <w:rPr>
                <w:rFonts w:hint="eastAsia"/>
                <w:color w:val="auto"/>
                <w:sz w:val="24"/>
                <w:szCs w:val="24"/>
              </w:rPr>
              <w:t>重质碳酸钙</w:t>
            </w:r>
            <w:r>
              <w:rPr>
                <w:rFonts w:hint="eastAsia"/>
                <w:color w:val="auto"/>
                <w:sz w:val="24"/>
                <w:szCs w:val="24"/>
                <w:lang w:eastAsia="zh-CN"/>
              </w:rPr>
              <w:t>、</w:t>
            </w:r>
            <w:r>
              <w:rPr>
                <w:rFonts w:hint="eastAsia"/>
                <w:color w:val="auto"/>
                <w:sz w:val="24"/>
                <w:szCs w:val="24"/>
              </w:rPr>
              <w:t>环保热稳定剂</w:t>
            </w:r>
            <w:r>
              <w:rPr>
                <w:rFonts w:hint="eastAsia"/>
                <w:color w:val="auto"/>
                <w:sz w:val="24"/>
                <w:szCs w:val="24"/>
                <w:lang w:eastAsia="zh-CN"/>
              </w:rPr>
              <w:t>、</w:t>
            </w:r>
            <w:r>
              <w:rPr>
                <w:rFonts w:hint="eastAsia"/>
                <w:color w:val="auto"/>
                <w:sz w:val="24"/>
                <w:szCs w:val="24"/>
                <w:lang w:val="en-US" w:eastAsia="zh-CN"/>
              </w:rPr>
              <w:t>色母</w:t>
            </w:r>
            <w:r>
              <w:rPr>
                <w:rFonts w:hint="eastAsia" w:cs="Times New Roman"/>
                <w:b w:val="0"/>
                <w:bCs w:val="0"/>
                <w:color w:val="auto"/>
                <w:sz w:val="24"/>
                <w:szCs w:val="24"/>
                <w:lang w:val="en-US" w:eastAsia="zh-CN"/>
              </w:rPr>
              <w:t>）</w:t>
            </w:r>
            <w:r>
              <w:rPr>
                <w:rFonts w:hint="default" w:ascii="Times New Roman" w:hAnsi="Times New Roman" w:eastAsia="宋体" w:cs="Times New Roman"/>
                <w:b w:val="0"/>
                <w:bCs w:val="0"/>
                <w:color w:val="auto"/>
                <w:sz w:val="24"/>
                <w:szCs w:val="24"/>
                <w:lang w:val="en-US" w:eastAsia="zh-CN"/>
              </w:rPr>
              <w:t>，参照《工业粉体下落过程粉尘排放特性的实验研究》（张桂芹等，2006），粉尘废气产尘系数约为1kg/t干物料量。</w:t>
            </w:r>
            <w:r>
              <w:rPr>
                <w:rFonts w:hint="default" w:ascii="Times New Roman" w:hAnsi="Times New Roman" w:eastAsia="宋体" w:cs="Times New Roman"/>
                <w:color w:val="auto"/>
                <w:sz w:val="24"/>
                <w:szCs w:val="24"/>
              </w:rPr>
              <w:t>该工序</w:t>
            </w:r>
            <w:r>
              <w:rPr>
                <w:rFonts w:hint="eastAsia" w:cs="Times New Roman"/>
                <w:color w:val="auto"/>
                <w:sz w:val="24"/>
                <w:szCs w:val="24"/>
                <w:lang w:eastAsia="zh-CN"/>
              </w:rPr>
              <w:t>污染物废气产生源强核算详见表4.2-2</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b w:val="0"/>
                <w:bCs w:val="0"/>
                <w:color w:val="auto"/>
                <w:sz w:val="24"/>
                <w:szCs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由集气罩</w:t>
            </w:r>
            <w:r>
              <w:rPr>
                <w:rFonts w:hint="default" w:ascii="Times New Roman" w:hAnsi="Times New Roman" w:eastAsia="宋体" w:cs="Times New Roman"/>
                <w:color w:val="auto"/>
                <w:sz w:val="24"/>
                <w:szCs w:val="24"/>
                <w:highlight w:val="none"/>
              </w:rPr>
              <w:t>收集</w:t>
            </w:r>
            <w:r>
              <w:rPr>
                <w:rFonts w:hint="default" w:ascii="Times New Roman" w:hAnsi="Times New Roman" w:eastAsia="宋体" w:cs="Times New Roman"/>
                <w:color w:val="auto"/>
                <w:sz w:val="24"/>
                <w:szCs w:val="24"/>
                <w:lang w:val="en-US" w:eastAsia="zh-CN"/>
              </w:rPr>
              <w:t>，收集效率以90%计，处理效率以9</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%计，收集后经一套</w:t>
            </w:r>
            <w:r>
              <w:rPr>
                <w:rFonts w:hint="default" w:ascii="Times New Roman" w:hAnsi="Times New Roman" w:eastAsia="宋体" w:cs="Times New Roman"/>
                <w:b w:val="0"/>
                <w:bCs w:val="0"/>
                <w:color w:val="auto"/>
                <w:sz w:val="24"/>
                <w:szCs w:val="24"/>
                <w:lang w:val="en-US" w:eastAsia="zh-CN"/>
              </w:rPr>
              <w:t>布袋除尘器+</w:t>
            </w:r>
            <w:r>
              <w:rPr>
                <w:rFonts w:hint="default" w:ascii="Times New Roman" w:hAnsi="Times New Roman" w:eastAsia="宋体" w:cs="Times New Roman"/>
                <w:color w:val="auto"/>
                <w:sz w:val="24"/>
                <w:szCs w:val="24"/>
                <w:lang w:val="en-US" w:eastAsia="zh-CN"/>
              </w:rPr>
              <w:t>二级活性炭吸附装置处理后通过18m高排气筒DA001排放。</w:t>
            </w:r>
          </w:p>
          <w:p w14:paraId="1B8AA6B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（2）挤出废气G2</w:t>
            </w:r>
          </w:p>
          <w:p w14:paraId="7F8F38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val="0"/>
                <w:color w:val="auto"/>
                <w:sz w:val="24"/>
                <w:lang w:val="en-US" w:eastAsia="zh-CN"/>
              </w:rPr>
              <w:t>根据生产工艺分析，本项目挤出工序产生有机废气（以非甲烷总烃计），</w:t>
            </w:r>
            <w:r>
              <w:rPr>
                <w:rFonts w:hint="default" w:ascii="Times New Roman" w:hAnsi="Times New Roman" w:eastAsia="宋体" w:cs="Times New Roman"/>
                <w:b w:val="0"/>
                <w:bCs w:val="0"/>
                <w:color w:val="auto"/>
                <w:kern w:val="2"/>
                <w:sz w:val="24"/>
                <w:szCs w:val="24"/>
                <w:highlight w:val="none"/>
                <w:lang w:val="en-US" w:eastAsia="zh-CN" w:bidi="ar-SA"/>
              </w:rPr>
              <w:t>污染源强参考《空气污染物排放和控制手册》（美国国家环保</w:t>
            </w:r>
            <w:r>
              <w:rPr>
                <w:rFonts w:hint="default" w:ascii="Times New Roman" w:hAnsi="Times New Roman" w:eastAsia="宋体" w:cs="Times New Roman"/>
                <w:b w:val="0"/>
                <w:bCs w:val="0"/>
                <w:color w:val="auto"/>
                <w:sz w:val="24"/>
                <w:szCs w:val="24"/>
                <w:highlight w:val="none"/>
                <w:lang w:val="en-US" w:eastAsia="zh-CN"/>
              </w:rPr>
              <w:t>局）中推荐的塑料加工废气排放系数，有机废气排放系数为0.35kg/t原料。根据企业资料，本项目PVC粒子用量为400t/a，</w:t>
            </w:r>
            <w:r>
              <w:rPr>
                <w:rFonts w:hint="default" w:ascii="Times New Roman" w:hAnsi="Times New Roman" w:eastAsia="宋体" w:cs="Times New Roman"/>
                <w:color w:val="auto"/>
                <w:sz w:val="24"/>
                <w:szCs w:val="24"/>
              </w:rPr>
              <w:t>该工序</w:t>
            </w:r>
            <w:r>
              <w:rPr>
                <w:rFonts w:hint="eastAsia" w:cs="Times New Roman"/>
                <w:color w:val="auto"/>
                <w:sz w:val="24"/>
                <w:szCs w:val="24"/>
                <w:lang w:eastAsia="zh-CN"/>
              </w:rPr>
              <w:t>污染物废气产生源强核算详见表4.2-2</w:t>
            </w:r>
            <w:r>
              <w:rPr>
                <w:rFonts w:hint="default" w:ascii="Times New Roman" w:hAnsi="Times New Roman" w:eastAsia="宋体" w:cs="Times New Roman"/>
                <w:color w:val="auto"/>
                <w:sz w:val="24"/>
                <w:szCs w:val="24"/>
                <w:lang w:val="en-US" w:eastAsia="zh-CN"/>
              </w:rPr>
              <w:t>。</w:t>
            </w:r>
          </w:p>
          <w:p w14:paraId="55BF1FE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挤出工段最大加热温度为150℃左右，远达不到213℃的PVC分解温度。由于PVC塑料有部分未聚合的HCl单体在加热过程中会释放出来。根据《气相色谱-质谱法分析聚氯乙烯加热分解产物》（林华影，林瑶，张伟中国卫生检验杂志，2008（4））中的实验结果，在150℃温度下，氯化氢产生量为6.77ppb-原料，氯乙烯产生量为8.26ppb-原料。本项目PVC用量为400t/a，氯化氢和氯乙烯产生量极少，且</w:t>
            </w:r>
            <w:r>
              <w:rPr>
                <w:rFonts w:hint="default" w:ascii="Times New Roman" w:hAnsi="Times New Roman" w:eastAsia="宋体" w:cs="Times New Roman"/>
                <w:b w:val="0"/>
                <w:bCs w:val="0"/>
                <w:color w:val="auto"/>
                <w:sz w:val="24"/>
                <w:lang w:val="en-US" w:eastAsia="zh-CN"/>
              </w:rPr>
              <w:t>由于加入稳定剂，将HCl的产生速率抑制到极低的水平，其</w:t>
            </w:r>
            <w:r>
              <w:rPr>
                <w:rFonts w:hint="eastAsia" w:cs="Times New Roman"/>
                <w:b w:val="0"/>
                <w:bCs w:val="0"/>
                <w:color w:val="auto"/>
                <w:sz w:val="24"/>
                <w:lang w:val="en-US" w:eastAsia="zh-CN"/>
              </w:rPr>
              <w:t>产生的影响极小</w:t>
            </w:r>
            <w:r>
              <w:rPr>
                <w:rFonts w:hint="default" w:ascii="Times New Roman" w:hAnsi="Times New Roman" w:eastAsia="宋体" w:cs="Times New Roman"/>
                <w:b w:val="0"/>
                <w:bCs w:val="0"/>
                <w:color w:val="auto"/>
                <w:sz w:val="24"/>
                <w:lang w:val="en-US" w:eastAsia="zh-CN"/>
              </w:rPr>
              <w:t>，</w:t>
            </w:r>
            <w:r>
              <w:rPr>
                <w:rFonts w:hint="default" w:ascii="Times New Roman" w:hAnsi="Times New Roman" w:eastAsia="宋体" w:cs="Times New Roman"/>
                <w:color w:val="auto"/>
                <w:sz w:val="24"/>
                <w:szCs w:val="24"/>
                <w:lang w:val="en-US" w:eastAsia="zh-CN"/>
              </w:rPr>
              <w:t>加强废气收集和厂界措施，对周围环境影响较小。</w:t>
            </w:r>
          </w:p>
          <w:p w14:paraId="054F3B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查阅文献《环氧大豆油作为PVC增塑剂的热分解动力学与裂解机理研究》(冯国东等，2017.2(5)，林业工程学报)，环氧大豆油于260℃左右分解，本项目加热温度最高为150℃，不会导致环氧大豆油分解。在熔融挤出过程因温度较高会产生挥发，以非甲烷总烃来表征，根据《增塑剂环氧大豆油》（HG/T4386-2012）中的加热减量0.2%，环氧大豆油在加热过程的挥发系数按0.2%计算。</w:t>
            </w:r>
            <w:r>
              <w:rPr>
                <w:rFonts w:hint="eastAsia" w:cs="Times New Roman"/>
                <w:color w:val="auto"/>
                <w:sz w:val="24"/>
                <w:szCs w:val="24"/>
                <w:lang w:eastAsia="zh-CN"/>
              </w:rPr>
              <w:t>污染物废气产生源强核算详见表4.2-2</w:t>
            </w:r>
            <w:r>
              <w:rPr>
                <w:rFonts w:hint="default" w:ascii="Times New Roman" w:hAnsi="Times New Roman" w:eastAsia="宋体" w:cs="Times New Roman"/>
                <w:color w:val="auto"/>
                <w:sz w:val="24"/>
                <w:szCs w:val="24"/>
                <w:lang w:val="en-US" w:eastAsia="zh-CN"/>
              </w:rPr>
              <w:t>。</w:t>
            </w:r>
          </w:p>
          <w:p w14:paraId="505FC7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企业拟在挤出工序的上方安装集气罩，</w:t>
            </w:r>
            <w:r>
              <w:rPr>
                <w:rFonts w:hint="default" w:ascii="Times New Roman" w:hAnsi="Times New Roman" w:eastAsia="宋体" w:cs="Times New Roman"/>
                <w:color w:val="auto"/>
                <w:sz w:val="24"/>
                <w:szCs w:val="24"/>
                <w:lang w:val="en-US" w:eastAsia="zh-CN"/>
              </w:rPr>
              <w:t>收集效率以90%计，处理效率以90%计，</w:t>
            </w:r>
            <w:r>
              <w:rPr>
                <w:rFonts w:hint="default" w:ascii="Times New Roman" w:hAnsi="Times New Roman" w:eastAsia="宋体" w:cs="Times New Roman"/>
                <w:b w:val="0"/>
                <w:bCs w:val="0"/>
                <w:color w:val="auto"/>
                <w:sz w:val="24"/>
                <w:lang w:val="en-US" w:eastAsia="zh-CN"/>
              </w:rPr>
              <w:t>收集后经一套布袋除尘器+二级活性炭吸附装置处理后通过18米高排气筒DA001排放。</w:t>
            </w:r>
          </w:p>
          <w:p w14:paraId="5AF5DB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rPr>
              <w:t>无组织废气</w:t>
            </w:r>
          </w:p>
          <w:p w14:paraId="10721A4E">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（1）未捕集的投料粉尘G1</w:t>
            </w:r>
            <w:r>
              <w:rPr>
                <w:rFonts w:hint="default" w:ascii="Times New Roman" w:hAnsi="Times New Roman" w:eastAsia="宋体" w:cs="Times New Roman"/>
                <w:snapToGrid w:val="0"/>
                <w:color w:val="auto"/>
                <w:kern w:val="0"/>
                <w:sz w:val="24"/>
                <w:szCs w:val="24"/>
                <w:lang w:eastAsia="zh-CN"/>
              </w:rPr>
              <w:t>′</w:t>
            </w:r>
          </w:p>
          <w:p w14:paraId="435BFCC3">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snapToGrid w:val="0"/>
                <w:color w:val="auto"/>
                <w:kern w:val="0"/>
                <w:sz w:val="24"/>
                <w:szCs w:val="24"/>
                <w:lang w:eastAsia="zh-CN"/>
              </w:rPr>
            </w:pPr>
            <w:r>
              <w:rPr>
                <w:rFonts w:hint="default" w:ascii="Times New Roman" w:hAnsi="Times New Roman" w:eastAsia="宋体" w:cs="Times New Roman"/>
                <w:snapToGrid w:val="0"/>
                <w:color w:val="auto"/>
                <w:kern w:val="0"/>
                <w:sz w:val="24"/>
                <w:szCs w:val="24"/>
                <w:lang w:val="en-US" w:eastAsia="zh-CN"/>
              </w:rPr>
              <w:t>本项目投料工序未捕集到的粉尘在车间无组织排放，因收集效率为9</w:t>
            </w:r>
            <w:r>
              <w:rPr>
                <w:rFonts w:hint="eastAsia" w:cs="Times New Roman"/>
                <w:snapToGrid w:val="0"/>
                <w:color w:val="auto"/>
                <w:kern w:val="0"/>
                <w:sz w:val="24"/>
                <w:szCs w:val="24"/>
                <w:lang w:val="en-US" w:eastAsia="zh-CN"/>
              </w:rPr>
              <w:t>0</w:t>
            </w:r>
            <w:r>
              <w:rPr>
                <w:rFonts w:hint="default" w:ascii="Times New Roman" w:hAnsi="Times New Roman" w:eastAsia="宋体" w:cs="Times New Roman"/>
                <w:snapToGrid w:val="0"/>
                <w:color w:val="auto"/>
                <w:kern w:val="0"/>
                <w:sz w:val="24"/>
                <w:szCs w:val="24"/>
                <w:lang w:val="en-US" w:eastAsia="zh-CN"/>
              </w:rPr>
              <w:t>%，则颗粒物无组织产生量为0.</w:t>
            </w:r>
            <w:r>
              <w:rPr>
                <w:rFonts w:hint="eastAsia" w:cs="Times New Roman"/>
                <w:snapToGrid w:val="0"/>
                <w:color w:val="auto"/>
                <w:kern w:val="0"/>
                <w:sz w:val="24"/>
                <w:szCs w:val="24"/>
                <w:lang w:val="en-US" w:eastAsia="zh-CN"/>
              </w:rPr>
              <w:t>095</w:t>
            </w:r>
            <w:r>
              <w:rPr>
                <w:rFonts w:hint="default" w:ascii="Times New Roman" w:hAnsi="Times New Roman" w:eastAsia="宋体" w:cs="Times New Roman"/>
                <w:snapToGrid w:val="0"/>
                <w:color w:val="auto"/>
                <w:kern w:val="0"/>
                <w:sz w:val="24"/>
                <w:szCs w:val="24"/>
                <w:lang w:val="en-US" w:eastAsia="zh-CN"/>
              </w:rPr>
              <w:t>t/a。</w:t>
            </w:r>
            <w:r>
              <w:rPr>
                <w:rFonts w:hint="eastAsia" w:cs="Times New Roman"/>
                <w:snapToGrid w:val="0"/>
                <w:color w:val="auto"/>
                <w:kern w:val="0"/>
                <w:sz w:val="24"/>
                <w:szCs w:val="24"/>
                <w:lang w:val="en-US" w:eastAsia="zh-CN"/>
              </w:rPr>
              <w:t>4</w:t>
            </w:r>
            <w:r>
              <w:rPr>
                <w:rFonts w:hint="default" w:ascii="Times New Roman" w:hAnsi="Times New Roman" w:eastAsia="宋体" w:cs="Times New Roman"/>
                <w:snapToGrid w:val="0"/>
                <w:color w:val="auto"/>
                <w:kern w:val="0"/>
                <w:sz w:val="24"/>
                <w:szCs w:val="24"/>
                <w:lang w:val="en-US" w:eastAsia="zh-CN"/>
              </w:rPr>
              <w:t>0%的颗粒物由于重力作用</w:t>
            </w:r>
            <w:r>
              <w:rPr>
                <w:rFonts w:hint="eastAsia" w:cs="Times New Roman"/>
                <w:snapToGrid w:val="0"/>
                <w:color w:val="auto"/>
                <w:kern w:val="0"/>
                <w:sz w:val="24"/>
                <w:szCs w:val="24"/>
                <w:lang w:val="en-US" w:eastAsia="zh-CN"/>
              </w:rPr>
              <w:t>在投料区</w:t>
            </w:r>
            <w:r>
              <w:rPr>
                <w:rFonts w:hint="default" w:ascii="Times New Roman" w:hAnsi="Times New Roman" w:eastAsia="宋体" w:cs="Times New Roman"/>
                <w:snapToGrid w:val="0"/>
                <w:color w:val="auto"/>
                <w:kern w:val="0"/>
                <w:sz w:val="24"/>
                <w:szCs w:val="24"/>
                <w:lang w:val="en-US" w:eastAsia="zh-CN"/>
              </w:rPr>
              <w:t>自然沉降</w:t>
            </w:r>
            <w:r>
              <w:rPr>
                <w:rFonts w:hint="eastAsia" w:cs="Times New Roman"/>
                <w:snapToGrid w:val="0"/>
                <w:color w:val="auto"/>
                <w:kern w:val="0"/>
                <w:sz w:val="24"/>
                <w:szCs w:val="24"/>
                <w:lang w:val="en-US" w:eastAsia="zh-CN"/>
              </w:rPr>
              <w:t>，</w:t>
            </w:r>
            <w:r>
              <w:rPr>
                <w:rFonts w:hint="eastAsia"/>
                <w:snapToGrid w:val="0"/>
                <w:color w:val="auto"/>
                <w:kern w:val="0"/>
                <w:sz w:val="24"/>
                <w:szCs w:val="24"/>
              </w:rPr>
              <w:t>投料口周边设置了防逸散围堰</w:t>
            </w:r>
            <w:r>
              <w:rPr>
                <w:rFonts w:hint="eastAsia"/>
                <w:snapToGrid w:val="0"/>
                <w:color w:val="auto"/>
                <w:kern w:val="0"/>
                <w:sz w:val="24"/>
                <w:szCs w:val="24"/>
                <w:lang w:eastAsia="zh-CN"/>
              </w:rPr>
              <w:t>，</w:t>
            </w:r>
            <w:r>
              <w:rPr>
                <w:rFonts w:hint="eastAsia"/>
                <w:snapToGrid w:val="0"/>
                <w:color w:val="auto"/>
                <w:kern w:val="0"/>
                <w:sz w:val="24"/>
                <w:szCs w:val="24"/>
              </w:rPr>
              <w:t>粉尘在围堰内主要依靠重力实现自然沉降，对于沉降下来的粉尘，通过集中清扫后</w:t>
            </w:r>
            <w:r>
              <w:rPr>
                <w:rFonts w:hint="eastAsia"/>
                <w:snapToGrid w:val="0"/>
                <w:color w:val="auto"/>
                <w:kern w:val="0"/>
                <w:sz w:val="24"/>
                <w:szCs w:val="24"/>
                <w:lang w:val="en-US" w:eastAsia="zh-CN"/>
              </w:rPr>
              <w:t>回用于生产</w:t>
            </w:r>
            <w:r>
              <w:rPr>
                <w:rFonts w:hint="default" w:ascii="Times New Roman" w:hAnsi="Times New Roman" w:eastAsia="宋体" w:cs="Times New Roman"/>
                <w:snapToGrid w:val="0"/>
                <w:color w:val="auto"/>
                <w:kern w:val="0"/>
                <w:sz w:val="24"/>
                <w:szCs w:val="24"/>
                <w:lang w:val="en-US" w:eastAsia="zh-CN"/>
              </w:rPr>
              <w:t>，剩余</w:t>
            </w:r>
            <w:r>
              <w:rPr>
                <w:rFonts w:hint="eastAsia" w:cs="Times New Roman"/>
                <w:snapToGrid w:val="0"/>
                <w:color w:val="auto"/>
                <w:kern w:val="0"/>
                <w:sz w:val="24"/>
                <w:szCs w:val="24"/>
                <w:lang w:val="en-US" w:eastAsia="zh-CN"/>
              </w:rPr>
              <w:t>6</w:t>
            </w:r>
            <w:r>
              <w:rPr>
                <w:rFonts w:hint="default" w:ascii="Times New Roman" w:hAnsi="Times New Roman" w:eastAsia="宋体" w:cs="Times New Roman"/>
                <w:snapToGrid w:val="0"/>
                <w:color w:val="auto"/>
                <w:kern w:val="0"/>
                <w:sz w:val="24"/>
                <w:szCs w:val="24"/>
                <w:lang w:val="en-US" w:eastAsia="zh-CN"/>
              </w:rPr>
              <w:t>0%则悬浮在空气中，随气流扩散至车间。则颗粒物无组织排放量为0.</w:t>
            </w:r>
            <w:r>
              <w:rPr>
                <w:rFonts w:hint="eastAsia" w:cs="Times New Roman"/>
                <w:snapToGrid w:val="0"/>
                <w:color w:val="auto"/>
                <w:kern w:val="0"/>
                <w:sz w:val="24"/>
                <w:szCs w:val="24"/>
                <w:lang w:val="en-US" w:eastAsia="zh-CN"/>
              </w:rPr>
              <w:t>06</w:t>
            </w:r>
            <w:r>
              <w:rPr>
                <w:rFonts w:hint="default" w:ascii="Times New Roman" w:hAnsi="Times New Roman" w:eastAsia="宋体" w:cs="Times New Roman"/>
                <w:snapToGrid w:val="0"/>
                <w:color w:val="auto"/>
                <w:kern w:val="0"/>
                <w:sz w:val="24"/>
                <w:szCs w:val="24"/>
                <w:lang w:val="en-US" w:eastAsia="zh-CN"/>
              </w:rPr>
              <w:t>t/a。</w:t>
            </w:r>
          </w:p>
          <w:p w14:paraId="1992F203">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（2）未捕集的挤出废气G2</w:t>
            </w:r>
            <w:r>
              <w:rPr>
                <w:rFonts w:hint="default" w:ascii="Times New Roman" w:hAnsi="Times New Roman" w:eastAsia="宋体" w:cs="Times New Roman"/>
                <w:snapToGrid w:val="0"/>
                <w:color w:val="auto"/>
                <w:kern w:val="0"/>
                <w:sz w:val="24"/>
                <w:szCs w:val="24"/>
                <w:lang w:eastAsia="zh-CN"/>
              </w:rPr>
              <w:t>′</w:t>
            </w:r>
          </w:p>
          <w:p w14:paraId="5AF27BC0">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snapToGrid w:val="0"/>
                <w:color w:val="auto"/>
                <w:kern w:val="0"/>
                <w:sz w:val="24"/>
                <w:szCs w:val="24"/>
                <w:lang w:val="en-US" w:eastAsia="zh-CN"/>
              </w:rPr>
              <w:t>本项目挤出工序未捕集到的有机废气在车间无组织排放，挤出</w:t>
            </w:r>
            <w:r>
              <w:rPr>
                <w:rFonts w:hint="default" w:ascii="Times New Roman" w:hAnsi="Times New Roman" w:eastAsia="宋体" w:cs="Times New Roman"/>
                <w:snapToGrid w:val="0"/>
                <w:color w:val="auto"/>
                <w:kern w:val="0"/>
                <w:sz w:val="24"/>
                <w:szCs w:val="24"/>
                <w:lang w:eastAsia="zh-CN"/>
              </w:rPr>
              <w:t>废气中</w:t>
            </w:r>
            <w:r>
              <w:rPr>
                <w:rFonts w:hint="default" w:ascii="Times New Roman" w:hAnsi="Times New Roman" w:eastAsia="宋体" w:cs="Times New Roman"/>
                <w:snapToGrid w:val="0"/>
                <w:color w:val="auto"/>
                <w:kern w:val="0"/>
                <w:sz w:val="24"/>
                <w:szCs w:val="24"/>
                <w:lang w:val="en-US" w:eastAsia="zh-CN"/>
              </w:rPr>
              <w:t>非甲烷总烃</w:t>
            </w:r>
            <w:r>
              <w:rPr>
                <w:rFonts w:hint="default" w:ascii="Times New Roman" w:hAnsi="Times New Roman" w:eastAsia="宋体" w:cs="Times New Roman"/>
                <w:snapToGrid w:val="0"/>
                <w:color w:val="auto"/>
                <w:kern w:val="0"/>
                <w:sz w:val="24"/>
                <w:szCs w:val="24"/>
                <w:lang w:eastAsia="zh-CN"/>
              </w:rPr>
              <w:t>的</w:t>
            </w:r>
            <w:r>
              <w:rPr>
                <w:rFonts w:hint="default" w:ascii="Times New Roman" w:hAnsi="Times New Roman" w:eastAsia="宋体" w:cs="Times New Roman"/>
                <w:snapToGrid w:val="0"/>
                <w:color w:val="auto"/>
                <w:kern w:val="0"/>
                <w:sz w:val="24"/>
                <w:szCs w:val="24"/>
                <w:lang w:val="en-US" w:eastAsia="zh-CN"/>
              </w:rPr>
              <w:t>无</w:t>
            </w:r>
            <w:r>
              <w:rPr>
                <w:rFonts w:hint="default" w:ascii="Times New Roman" w:hAnsi="Times New Roman" w:eastAsia="宋体" w:cs="Times New Roman"/>
                <w:snapToGrid w:val="0"/>
                <w:color w:val="auto"/>
                <w:kern w:val="0"/>
                <w:sz w:val="24"/>
                <w:szCs w:val="24"/>
                <w:lang w:eastAsia="zh-CN"/>
              </w:rPr>
              <w:t>组织排放量为</w:t>
            </w:r>
            <w:r>
              <w:rPr>
                <w:rFonts w:hint="default" w:ascii="Times New Roman" w:hAnsi="Times New Roman" w:eastAsia="宋体" w:cs="Times New Roman"/>
                <w:snapToGrid w:val="0"/>
                <w:color w:val="auto"/>
                <w:kern w:val="0"/>
                <w:sz w:val="24"/>
                <w:szCs w:val="24"/>
                <w:lang w:val="en-US" w:eastAsia="zh-CN"/>
              </w:rPr>
              <w:t>0.02</w:t>
            </w:r>
            <w:r>
              <w:rPr>
                <w:rFonts w:hint="default" w:ascii="Times New Roman" w:hAnsi="Times New Roman" w:eastAsia="宋体" w:cs="Times New Roman"/>
                <w:snapToGrid w:val="0"/>
                <w:color w:val="auto"/>
                <w:kern w:val="0"/>
                <w:sz w:val="24"/>
                <w:szCs w:val="24"/>
                <w:lang w:eastAsia="zh-CN"/>
              </w:rPr>
              <w:t>t/a。</w:t>
            </w:r>
          </w:p>
          <w:p w14:paraId="6AC901DE">
            <w:pPr>
              <w:keepNext w:val="0"/>
              <w:keepLines w:val="0"/>
              <w:pageBreakBefore w:val="0"/>
              <w:widowControl w:val="0"/>
              <w:kinsoku/>
              <w:wordWrap/>
              <w:overflowPunct/>
              <w:topLinePunct w:val="0"/>
              <w:autoSpaceDE/>
              <w:autoSpaceDN/>
              <w:bidi w:val="0"/>
              <w:adjustRightInd/>
              <w:snapToGrid/>
              <w:spacing w:line="480" w:lineRule="exact"/>
              <w:ind w:firstLine="420"/>
              <w:textAlignment w:val="auto"/>
              <w:rPr>
                <w:rFonts w:hint="default" w:ascii="Times New Roman" w:hAnsi="Times New Roman" w:eastAsia="宋体" w:cs="Times New Roman"/>
                <w:b/>
                <w:bCs/>
                <w:snapToGrid w:val="0"/>
                <w:color w:val="auto"/>
                <w:kern w:val="0"/>
                <w:sz w:val="24"/>
                <w:szCs w:val="24"/>
                <w:lang w:val="en-US" w:eastAsia="zh-CN"/>
              </w:rPr>
            </w:pPr>
            <w:r>
              <w:rPr>
                <w:rFonts w:hint="default" w:ascii="Times New Roman" w:hAnsi="Times New Roman" w:eastAsia="宋体" w:cs="Times New Roman"/>
                <w:b/>
                <w:bCs/>
                <w:snapToGrid w:val="0"/>
                <w:color w:val="auto"/>
                <w:kern w:val="0"/>
                <w:sz w:val="24"/>
                <w:szCs w:val="24"/>
                <w:lang w:val="en-US" w:eastAsia="zh-CN"/>
              </w:rPr>
              <w:t>（3）破碎粉尘G3</w:t>
            </w:r>
          </w:p>
          <w:p w14:paraId="284B8A9F">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生产过程中产生的不合格品经收集后通过破碎机进行粉碎，粉碎后回用，破碎过程中会产生少量的破碎粉尘，参照《排放源统计调查产排污核算方法和系数手册》—42 废弃资源综合利用行业系数手册，干法粉碎颗粒物产生量为</w:t>
            </w:r>
            <w:r>
              <w:rPr>
                <w:rFonts w:hint="eastAsia" w:cs="Times New Roman"/>
                <w:b w:val="0"/>
                <w:bCs w:val="0"/>
                <w:color w:val="auto"/>
                <w:sz w:val="24"/>
                <w:szCs w:val="24"/>
                <w:highlight w:val="none"/>
                <w:lang w:val="en-US" w:eastAsia="zh-CN"/>
              </w:rPr>
              <w:t>450</w:t>
            </w:r>
            <w:r>
              <w:rPr>
                <w:rFonts w:hint="default" w:ascii="Times New Roman" w:hAnsi="Times New Roman" w:eastAsia="宋体" w:cs="Times New Roman"/>
                <w:b w:val="0"/>
                <w:bCs w:val="0"/>
                <w:color w:val="auto"/>
                <w:sz w:val="24"/>
                <w:szCs w:val="24"/>
                <w:highlight w:val="none"/>
                <w:lang w:val="en-US" w:eastAsia="zh-CN"/>
              </w:rPr>
              <w:t>g/t-原料，本项目产生的不合格品有</w:t>
            </w:r>
            <w:r>
              <w:rPr>
                <w:rFonts w:hint="eastAsia" w:cs="Times New Roman"/>
                <w:b w:val="0"/>
                <w:bCs w:val="0"/>
                <w:color w:val="auto"/>
                <w:sz w:val="24"/>
                <w:szCs w:val="24"/>
                <w:highlight w:val="none"/>
                <w:lang w:val="en-US" w:eastAsia="zh-CN"/>
              </w:rPr>
              <w:t>2.79</w:t>
            </w:r>
            <w:r>
              <w:rPr>
                <w:rFonts w:hint="default" w:ascii="Times New Roman" w:hAnsi="Times New Roman" w:eastAsia="宋体" w:cs="Times New Roman"/>
                <w:b w:val="0"/>
                <w:bCs w:val="0"/>
                <w:color w:val="auto"/>
                <w:sz w:val="24"/>
                <w:szCs w:val="24"/>
                <w:highlight w:val="none"/>
                <w:lang w:val="en-US" w:eastAsia="zh-CN"/>
              </w:rPr>
              <w:t>t/a，因此颗粒物产生量为0.00</w:t>
            </w:r>
            <w:r>
              <w:rPr>
                <w:rFonts w:hint="eastAsia" w:cs="Times New Roman"/>
                <w:b w:val="0"/>
                <w:bCs w:val="0"/>
                <w:color w:val="auto"/>
                <w:sz w:val="24"/>
                <w:szCs w:val="24"/>
                <w:highlight w:val="none"/>
                <w:lang w:val="en-US" w:eastAsia="zh-CN"/>
              </w:rPr>
              <w:t>13</w:t>
            </w:r>
            <w:r>
              <w:rPr>
                <w:rFonts w:hint="default" w:ascii="Times New Roman" w:hAnsi="Times New Roman" w:eastAsia="宋体" w:cs="Times New Roman"/>
                <w:b w:val="0"/>
                <w:bCs w:val="0"/>
                <w:color w:val="auto"/>
                <w:sz w:val="24"/>
                <w:szCs w:val="24"/>
                <w:highlight w:val="none"/>
                <w:lang w:val="en-US" w:eastAsia="zh-CN"/>
              </w:rPr>
              <w:t>t/a，产生量极少。破碎机配备有盖，仅在加工完成后才会开启，因此基本不会产生废气。此外，破碎机本身自带布袋除尘器，使得破碎工段排放的粉尘量极少。因此本项目不再对破碎粉尘进行进一步分析。</w:t>
            </w:r>
          </w:p>
          <w:p w14:paraId="3EFEFCF9">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（4）整平粉尘G4</w:t>
            </w:r>
          </w:p>
          <w:p w14:paraId="22591F6C">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lang w:val="en-US" w:eastAsia="zh-CN"/>
              </w:rPr>
              <w:t>将甲板放入整平机内，通过机械打磨，消除材料的不平度。</w:t>
            </w:r>
            <w:r>
              <w:rPr>
                <w:rFonts w:hint="default" w:ascii="Times New Roman" w:hAnsi="Times New Roman" w:eastAsia="宋体" w:cs="Times New Roman"/>
                <w:b w:val="0"/>
                <w:bCs w:val="0"/>
                <w:color w:val="auto"/>
                <w:sz w:val="24"/>
                <w:szCs w:val="24"/>
                <w:highlight w:val="none"/>
                <w:lang w:val="en-US" w:eastAsia="zh-CN"/>
              </w:rPr>
              <w:t>本项目需要整平的甲板</w:t>
            </w:r>
            <w:r>
              <w:rPr>
                <w:rFonts w:hint="eastAsia" w:cs="Times New Roman"/>
                <w:b w:val="0"/>
                <w:bCs w:val="0"/>
                <w:color w:val="auto"/>
                <w:sz w:val="24"/>
                <w:szCs w:val="24"/>
                <w:highlight w:val="none"/>
                <w:lang w:val="en-US" w:eastAsia="zh-CN"/>
              </w:rPr>
              <w:t>占甲板生产量的5%，即20</w:t>
            </w:r>
            <w:r>
              <w:rPr>
                <w:rFonts w:hint="default" w:ascii="Times New Roman" w:hAnsi="Times New Roman" w:eastAsia="宋体" w:cs="Times New Roman"/>
                <w:b w:val="0"/>
                <w:bCs w:val="0"/>
                <w:color w:val="auto"/>
                <w:sz w:val="24"/>
                <w:szCs w:val="24"/>
                <w:highlight w:val="none"/>
                <w:lang w:val="en-US" w:eastAsia="zh-CN"/>
              </w:rPr>
              <w:t>t/a</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b w:val="0"/>
                <w:bCs w:val="0"/>
                <w:color w:val="auto"/>
                <w:sz w:val="24"/>
                <w:szCs w:val="24"/>
                <w:highlight w:val="none"/>
                <w:lang w:val="en-US" w:eastAsia="zh-CN"/>
              </w:rPr>
              <w:t>根据《逸散性工业粉尘控制技术》一书中，其</w:t>
            </w:r>
            <w:r>
              <w:rPr>
                <w:rFonts w:hint="eastAsia" w:cs="Times New Roman"/>
                <w:b w:val="0"/>
                <w:bCs w:val="0"/>
                <w:color w:val="auto"/>
                <w:sz w:val="24"/>
                <w:szCs w:val="24"/>
                <w:highlight w:val="none"/>
                <w:lang w:val="en-US" w:eastAsia="zh-CN"/>
              </w:rPr>
              <w:t>打磨粉尘产生量为</w:t>
            </w:r>
            <w:r>
              <w:rPr>
                <w:rFonts w:hint="default" w:ascii="Times New Roman" w:hAnsi="Times New Roman" w:eastAsia="宋体" w:cs="Times New Roman"/>
                <w:b w:val="0"/>
                <w:bCs w:val="0"/>
                <w:color w:val="auto"/>
                <w:sz w:val="24"/>
                <w:szCs w:val="24"/>
                <w:highlight w:val="none"/>
                <w:lang w:val="en-US" w:eastAsia="zh-CN"/>
              </w:rPr>
              <w:t>0.5kg/t</w:t>
            </w:r>
            <w:r>
              <w:rPr>
                <w:rFonts w:hint="eastAsia" w:cs="Times New Roman"/>
                <w:b w:val="0"/>
                <w:bCs w:val="0"/>
                <w:color w:val="auto"/>
                <w:sz w:val="24"/>
                <w:szCs w:val="24"/>
                <w:highlight w:val="none"/>
                <w:lang w:val="en-US" w:eastAsia="zh-CN"/>
              </w:rPr>
              <w:t>原料</w:t>
            </w:r>
            <w:r>
              <w:rPr>
                <w:rFonts w:hint="default" w:ascii="Times New Roman" w:hAnsi="Times New Roman" w:eastAsia="宋体" w:cs="Times New Roman"/>
                <w:color w:val="auto"/>
                <w:sz w:val="24"/>
                <w:szCs w:val="24"/>
                <w:lang w:val="en-US" w:eastAsia="zh-CN"/>
              </w:rPr>
              <w:t>，则整平颗粒物产生量为0.</w:t>
            </w:r>
            <w:r>
              <w:rPr>
                <w:rFonts w:hint="eastAsia" w:cs="Times New Roman"/>
                <w:color w:val="auto"/>
                <w:sz w:val="24"/>
                <w:szCs w:val="24"/>
                <w:lang w:val="en-US" w:eastAsia="zh-CN"/>
              </w:rPr>
              <w:t>01</w:t>
            </w:r>
            <w:r>
              <w:rPr>
                <w:rFonts w:hint="default" w:ascii="Times New Roman" w:hAnsi="Times New Roman" w:eastAsia="宋体" w:cs="Times New Roman"/>
                <w:color w:val="auto"/>
                <w:sz w:val="24"/>
                <w:szCs w:val="24"/>
                <w:lang w:val="en-US" w:eastAsia="zh-CN"/>
              </w:rPr>
              <w:t>t/a</w:t>
            </w:r>
            <w:r>
              <w:rPr>
                <w:rFonts w:hint="default"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整平机几乎密闭，仅留有工件进出口</w:t>
            </w:r>
            <w:r>
              <w:rPr>
                <w:rFonts w:hint="default" w:ascii="Times New Roman" w:hAnsi="Times New Roman" w:eastAsia="宋体" w:cs="Times New Roman"/>
                <w:b w:val="0"/>
                <w:bCs w:val="0"/>
                <w:color w:val="auto"/>
                <w:sz w:val="24"/>
                <w:szCs w:val="24"/>
                <w:highlight w:val="none"/>
                <w:lang w:val="en-US" w:eastAsia="zh-CN"/>
              </w:rPr>
              <w:t>，基本不会产生废气</w:t>
            </w:r>
            <w:r>
              <w:rPr>
                <w:rFonts w:hint="eastAsia" w:cs="Times New Roman"/>
                <w:b w:val="0"/>
                <w:bCs w:val="0"/>
                <w:color w:val="auto"/>
                <w:sz w:val="24"/>
                <w:szCs w:val="24"/>
                <w:highlight w:val="none"/>
                <w:lang w:val="en-US" w:eastAsia="zh-CN"/>
              </w:rPr>
              <w:t>。且每台整平</w:t>
            </w:r>
            <w:r>
              <w:rPr>
                <w:rFonts w:hint="default" w:ascii="Times New Roman" w:hAnsi="Times New Roman" w:eastAsia="宋体" w:cs="Times New Roman"/>
                <w:b w:val="0"/>
                <w:bCs w:val="0"/>
                <w:color w:val="auto"/>
                <w:sz w:val="24"/>
                <w:szCs w:val="24"/>
                <w:highlight w:val="none"/>
                <w:lang w:val="en-US" w:eastAsia="zh-CN"/>
              </w:rPr>
              <w:t>机</w:t>
            </w:r>
            <w:r>
              <w:rPr>
                <w:rFonts w:hint="eastAsia" w:cs="Times New Roman"/>
                <w:b w:val="0"/>
                <w:bCs w:val="0"/>
                <w:color w:val="auto"/>
                <w:sz w:val="24"/>
                <w:szCs w:val="24"/>
                <w:highlight w:val="none"/>
                <w:lang w:val="en-US" w:eastAsia="zh-CN"/>
              </w:rPr>
              <w:t>自带一台</w:t>
            </w:r>
            <w:r>
              <w:rPr>
                <w:rFonts w:hint="default" w:ascii="Times New Roman" w:hAnsi="Times New Roman" w:eastAsia="宋体" w:cs="Times New Roman"/>
                <w:b w:val="0"/>
                <w:bCs w:val="0"/>
                <w:color w:val="auto"/>
                <w:sz w:val="24"/>
                <w:szCs w:val="24"/>
                <w:highlight w:val="none"/>
                <w:lang w:val="en-US" w:eastAsia="zh-CN"/>
              </w:rPr>
              <w:t>布袋除尘器，使得</w:t>
            </w:r>
            <w:r>
              <w:rPr>
                <w:rFonts w:hint="eastAsia" w:cs="Times New Roman"/>
                <w:b w:val="0"/>
                <w:bCs w:val="0"/>
                <w:color w:val="auto"/>
                <w:sz w:val="24"/>
                <w:szCs w:val="24"/>
                <w:highlight w:val="none"/>
                <w:lang w:val="en-US" w:eastAsia="zh-CN"/>
              </w:rPr>
              <w:t>整平</w:t>
            </w:r>
            <w:r>
              <w:rPr>
                <w:rFonts w:hint="default" w:ascii="Times New Roman" w:hAnsi="Times New Roman" w:eastAsia="宋体" w:cs="Times New Roman"/>
                <w:b w:val="0"/>
                <w:bCs w:val="0"/>
                <w:color w:val="auto"/>
                <w:sz w:val="24"/>
                <w:szCs w:val="24"/>
                <w:highlight w:val="none"/>
                <w:lang w:val="en-US" w:eastAsia="zh-CN"/>
              </w:rPr>
              <w:t>工段排放的粉尘量极少。因此本项目不再对</w:t>
            </w:r>
            <w:r>
              <w:rPr>
                <w:rFonts w:hint="eastAsia" w:cs="Times New Roman"/>
                <w:b w:val="0"/>
                <w:bCs w:val="0"/>
                <w:color w:val="auto"/>
                <w:sz w:val="24"/>
                <w:szCs w:val="24"/>
                <w:highlight w:val="none"/>
                <w:lang w:val="en-US" w:eastAsia="zh-CN"/>
              </w:rPr>
              <w:t>整平</w:t>
            </w:r>
            <w:r>
              <w:rPr>
                <w:rFonts w:hint="default" w:ascii="Times New Roman" w:hAnsi="Times New Roman" w:eastAsia="宋体" w:cs="Times New Roman"/>
                <w:b w:val="0"/>
                <w:bCs w:val="0"/>
                <w:color w:val="auto"/>
                <w:sz w:val="24"/>
                <w:szCs w:val="24"/>
                <w:highlight w:val="none"/>
                <w:lang w:val="en-US" w:eastAsia="zh-CN"/>
              </w:rPr>
              <w:t>粉尘进行进一步分析。</w:t>
            </w:r>
          </w:p>
          <w:p w14:paraId="2A753E60">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highlight w:val="none"/>
                <w:lang w:val="en-US" w:eastAsia="zh-CN"/>
              </w:rPr>
              <w:t>（</w:t>
            </w:r>
            <w:r>
              <w:rPr>
                <w:rFonts w:hint="eastAsia"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lang w:val="en-US" w:eastAsia="zh-CN"/>
              </w:rPr>
              <w:t>危废仓库废气G5</w:t>
            </w:r>
          </w:p>
          <w:p w14:paraId="21C5AAA5">
            <w:pPr>
              <w:pStyle w:val="23"/>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shd w:val="clear" w:color="auto" w:fill="auto"/>
                <w:lang w:val="en-US" w:eastAsia="zh-CN" w:bidi="ar-SA"/>
              </w:rPr>
              <w:t>根据《危险废物贮存污染控制标准》（GB 18597-2023）中6.2.3要求：贮存易产生粉尘、VOCs、酸雾、有毒有害大气污染物和刺激性气味气体的危险废物贮存库，应设置气体收集装置和气体净化设施；气体净化设施的排气筒高度应符合 GB 16297 要求。全厂危险废物为</w:t>
            </w:r>
            <w:r>
              <w:rPr>
                <w:rFonts w:hint="eastAsia" w:cs="Times New Roman"/>
                <w:color w:val="auto"/>
                <w:sz w:val="24"/>
                <w:szCs w:val="24"/>
                <w:lang w:val="en-US" w:eastAsia="zh-CN"/>
              </w:rPr>
              <w:t>冷却废液、</w:t>
            </w:r>
            <w:r>
              <w:rPr>
                <w:rFonts w:hint="default" w:ascii="Times New Roman" w:hAnsi="Times New Roman" w:eastAsia="宋体" w:cs="Times New Roman"/>
                <w:color w:val="auto"/>
                <w:sz w:val="24"/>
                <w:szCs w:val="24"/>
                <w:highlight w:val="none"/>
                <w:lang w:val="en-US" w:eastAsia="zh-CN"/>
              </w:rPr>
              <w:t>废包装桶、废齿轮油、</w:t>
            </w:r>
            <w:r>
              <w:rPr>
                <w:rFonts w:hint="eastAsia" w:cs="Times New Roman"/>
                <w:color w:val="auto"/>
                <w:sz w:val="24"/>
                <w:szCs w:val="24"/>
                <w:highlight w:val="none"/>
                <w:lang w:val="en-US" w:eastAsia="zh-CN"/>
              </w:rPr>
              <w:t>废抹布手套</w:t>
            </w:r>
            <w:r>
              <w:rPr>
                <w:rFonts w:hint="default" w:ascii="Times New Roman" w:hAnsi="Times New Roman" w:eastAsia="宋体" w:cs="Times New Roman"/>
                <w:color w:val="auto"/>
                <w:sz w:val="24"/>
                <w:szCs w:val="24"/>
                <w:highlight w:val="none"/>
                <w:lang w:val="en-US" w:eastAsia="zh-CN"/>
              </w:rPr>
              <w:t>、废活性炭</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沾染大豆油的废布袋、油泥</w:t>
            </w:r>
            <w:r>
              <w:rPr>
                <w:rFonts w:hint="default" w:ascii="Times New Roman" w:hAnsi="Times New Roman" w:eastAsia="宋体" w:cs="Times New Roman"/>
                <w:b w:val="0"/>
                <w:bCs/>
                <w:color w:val="auto"/>
                <w:sz w:val="24"/>
                <w:highlight w:val="none"/>
                <w:shd w:val="clear" w:color="auto" w:fill="auto"/>
                <w:lang w:val="en-US" w:eastAsia="zh-CN"/>
              </w:rPr>
              <w:t>等</w:t>
            </w:r>
            <w:r>
              <w:rPr>
                <w:rFonts w:hint="default" w:ascii="Times New Roman" w:hAnsi="Times New Roman" w:eastAsia="宋体" w:cs="Times New Roman"/>
                <w:color w:val="auto"/>
                <w:kern w:val="2"/>
                <w:sz w:val="24"/>
                <w:szCs w:val="24"/>
                <w:highlight w:val="none"/>
                <w:shd w:val="clear" w:color="auto" w:fill="auto"/>
                <w:lang w:val="en-US" w:eastAsia="zh-CN" w:bidi="ar-SA"/>
              </w:rPr>
              <w:t>，贮存过程中会产生少量的有机废气，本项目固态危险废物产生后由现场立即用塑料缠绕膜进行缠绕打包称量，并采用桶/袋密封后贮存至危废仓库内，液态危废装入桶内密封后贮存至危废仓库内，因此贮存过程中有机废气产生量极少，不定量分析。</w:t>
            </w:r>
            <w:r>
              <w:rPr>
                <w:rFonts w:hint="default" w:cs="Times New Roman"/>
                <w:color w:val="auto"/>
                <w:kern w:val="2"/>
                <w:sz w:val="24"/>
                <w:szCs w:val="24"/>
                <w:highlight w:val="none"/>
                <w:shd w:val="clear" w:color="auto" w:fill="auto"/>
                <w:lang w:val="en-US" w:eastAsia="zh-CN" w:bidi="ar-SA"/>
              </w:rPr>
              <w:t>危废仓库产生的少量废气进行无组织排放。</w:t>
            </w:r>
          </w:p>
        </w:tc>
      </w:tr>
    </w:tbl>
    <w:p w14:paraId="58695C0A">
      <w:pPr>
        <w:ind w:firstLine="420"/>
        <w:rPr>
          <w:rFonts w:hint="default" w:ascii="Times New Roman" w:hAnsi="Times New Roman" w:eastAsia="宋体" w:cs="Times New Roman"/>
          <w:color w:val="auto"/>
        </w:rPr>
        <w:sectPr>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tbl>
      <w:tblPr>
        <w:tblStyle w:val="4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9"/>
        <w:gridCol w:w="13677"/>
      </w:tblGrid>
      <w:tr w14:paraId="4F02C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dxa"/>
            <w:vAlign w:val="center"/>
          </w:tcPr>
          <w:p w14:paraId="5BD80ABB">
            <w:pPr>
              <w:ind w:left="0" w:leftChars="0" w:firstLine="0" w:firstLineChars="0"/>
              <w:jc w:val="center"/>
              <w:rPr>
                <w:rFonts w:hint="default" w:ascii="Times New Roman" w:hAnsi="Times New Roman" w:eastAsia="宋体" w:cs="Times New Roman"/>
                <w:color w:val="auto"/>
                <w:vertAlign w:val="baseline"/>
              </w:rPr>
            </w:pPr>
            <w:r>
              <w:rPr>
                <w:rFonts w:hint="default" w:ascii="Times New Roman" w:hAnsi="Times New Roman" w:eastAsia="宋体" w:cs="Times New Roman"/>
                <w:b/>
                <w:bCs/>
                <w:color w:val="auto"/>
                <w:sz w:val="24"/>
                <w:szCs w:val="24"/>
              </w:rPr>
              <w:t>运营期环境影响和保护措施</w:t>
            </w:r>
          </w:p>
        </w:tc>
        <w:tc>
          <w:tcPr>
            <w:tcW w:w="13677" w:type="dxa"/>
          </w:tcPr>
          <w:p w14:paraId="521BEA14">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本项目废气产生源强核算情况详见表4</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p>
          <w:p w14:paraId="7BFDB64B">
            <w:pPr>
              <w:ind w:firstLine="0" w:firstLineChars="0"/>
              <w:jc w:val="center"/>
              <w:rPr>
                <w:rFonts w:hint="default" w:ascii="Times New Roman" w:hAnsi="Times New Roman" w:eastAsia="宋体" w:cs="Times New Roman"/>
                <w:b/>
                <w:color w:val="auto"/>
                <w:kern w:val="0"/>
                <w:highlight w:val="none"/>
              </w:rPr>
            </w:pPr>
            <w:r>
              <w:rPr>
                <w:rFonts w:hint="default" w:ascii="Times New Roman" w:hAnsi="Times New Roman" w:eastAsia="宋体" w:cs="Times New Roman"/>
                <w:b/>
                <w:color w:val="auto"/>
                <w:kern w:val="0"/>
                <w:highlight w:val="none"/>
              </w:rPr>
              <w:t>表4</w:t>
            </w:r>
            <w:r>
              <w:rPr>
                <w:rFonts w:hint="default" w:ascii="Times New Roman" w:hAnsi="Times New Roman" w:eastAsia="宋体" w:cs="Times New Roman"/>
                <w:b/>
                <w:color w:val="auto"/>
                <w:kern w:val="0"/>
                <w:highlight w:val="none"/>
                <w:lang w:val="en-US" w:eastAsia="zh-CN"/>
              </w:rPr>
              <w:t>.2</w:t>
            </w:r>
            <w:r>
              <w:rPr>
                <w:rFonts w:hint="default" w:ascii="Times New Roman" w:hAnsi="Times New Roman" w:eastAsia="宋体" w:cs="Times New Roman"/>
                <w:b/>
                <w:color w:val="auto"/>
                <w:kern w:val="0"/>
                <w:highlight w:val="none"/>
              </w:rPr>
              <w:t>-</w:t>
            </w:r>
            <w:r>
              <w:rPr>
                <w:rFonts w:hint="default" w:ascii="Times New Roman" w:hAnsi="Times New Roman" w:eastAsia="宋体" w:cs="Times New Roman"/>
                <w:b/>
                <w:color w:val="auto"/>
                <w:kern w:val="0"/>
                <w:highlight w:val="none"/>
                <w:lang w:val="en-US" w:eastAsia="zh-CN"/>
              </w:rPr>
              <w:t>2</w:t>
            </w:r>
            <w:r>
              <w:rPr>
                <w:rFonts w:hint="default" w:ascii="Times New Roman" w:hAnsi="Times New Roman" w:eastAsia="宋体" w:cs="Times New Roman"/>
                <w:b/>
                <w:color w:val="auto"/>
                <w:kern w:val="0"/>
                <w:highlight w:val="none"/>
              </w:rPr>
              <w:t xml:space="preserve">   本项目废气产生源强核算表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952"/>
              <w:gridCol w:w="1151"/>
              <w:gridCol w:w="1287"/>
              <w:gridCol w:w="738"/>
              <w:gridCol w:w="1449"/>
              <w:gridCol w:w="1372"/>
              <w:gridCol w:w="956"/>
              <w:gridCol w:w="1301"/>
              <w:gridCol w:w="724"/>
              <w:gridCol w:w="1234"/>
              <w:gridCol w:w="1297"/>
            </w:tblGrid>
            <w:tr w14:paraId="362C90E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noWrap w:val="0"/>
                  <w:vAlign w:val="center"/>
                </w:tcPr>
                <w:p w14:paraId="1C2C05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bookmarkStart w:id="5" w:name="_Hlk130048567"/>
                  <w:r>
                    <w:rPr>
                      <w:rFonts w:hint="default" w:ascii="Times New Roman" w:hAnsi="Times New Roman" w:eastAsia="宋体" w:cs="Times New Roman"/>
                      <w:b/>
                      <w:bCs/>
                      <w:color w:val="auto"/>
                      <w:sz w:val="21"/>
                      <w:szCs w:val="21"/>
                    </w:rPr>
                    <w:t>排放源</w:t>
                  </w:r>
                </w:p>
              </w:tc>
              <w:tc>
                <w:tcPr>
                  <w:tcW w:w="1151" w:type="dxa"/>
                  <w:noWrap w:val="0"/>
                  <w:vAlign w:val="center"/>
                </w:tcPr>
                <w:p w14:paraId="1EADD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1287" w:type="dxa"/>
                  <w:noWrap w:val="0"/>
                  <w:vAlign w:val="center"/>
                </w:tcPr>
                <w:p w14:paraId="1735A3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产品或原料名称</w:t>
                  </w:r>
                </w:p>
              </w:tc>
              <w:tc>
                <w:tcPr>
                  <w:tcW w:w="738" w:type="dxa"/>
                  <w:noWrap w:val="0"/>
                  <w:vAlign w:val="center"/>
                </w:tcPr>
                <w:p w14:paraId="133DC4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核算方法</w:t>
                  </w:r>
                </w:p>
              </w:tc>
              <w:tc>
                <w:tcPr>
                  <w:tcW w:w="1449" w:type="dxa"/>
                  <w:noWrap w:val="0"/>
                  <w:vAlign w:val="center"/>
                </w:tcPr>
                <w:p w14:paraId="3EB9A5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产品或</w:t>
                  </w:r>
                  <w:r>
                    <w:rPr>
                      <w:rFonts w:hint="default" w:ascii="Times New Roman" w:hAnsi="Times New Roman" w:eastAsia="宋体" w:cs="Times New Roman"/>
                      <w:b/>
                      <w:bCs/>
                      <w:color w:val="auto"/>
                      <w:sz w:val="21"/>
                      <w:szCs w:val="21"/>
                    </w:rPr>
                    <w:t>原料使用量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1372" w:type="dxa"/>
                  <w:noWrap w:val="0"/>
                  <w:vAlign w:val="center"/>
                </w:tcPr>
                <w:p w14:paraId="74F1AB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rPr>
                  </w:pPr>
                  <w:r>
                    <w:rPr>
                      <w:rFonts w:hint="default" w:ascii="Times New Roman" w:hAnsi="Times New Roman" w:eastAsia="宋体" w:cs="Times New Roman"/>
                      <w:b/>
                      <w:bCs/>
                      <w:color w:val="auto"/>
                      <w:sz w:val="21"/>
                      <w:szCs w:val="21"/>
                      <w:lang w:val="en-US" w:eastAsia="zh-CN"/>
                    </w:rPr>
                    <w:t>产污系数</w:t>
                  </w:r>
                </w:p>
              </w:tc>
              <w:tc>
                <w:tcPr>
                  <w:tcW w:w="956" w:type="dxa"/>
                  <w:noWrap w:val="0"/>
                  <w:vAlign w:val="center"/>
                </w:tcPr>
                <w:p w14:paraId="30E5B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1301" w:type="dxa"/>
                  <w:noWrap w:val="0"/>
                  <w:vAlign w:val="center"/>
                </w:tcPr>
                <w:p w14:paraId="5B5FC5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收集方式</w:t>
                  </w:r>
                </w:p>
              </w:tc>
              <w:tc>
                <w:tcPr>
                  <w:tcW w:w="724" w:type="dxa"/>
                  <w:noWrap w:val="0"/>
                  <w:vAlign w:val="center"/>
                </w:tcPr>
                <w:p w14:paraId="4922C6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收集效率</w:t>
                  </w:r>
                </w:p>
              </w:tc>
              <w:tc>
                <w:tcPr>
                  <w:tcW w:w="1234" w:type="dxa"/>
                  <w:noWrap w:val="0"/>
                  <w:vAlign w:val="center"/>
                </w:tcPr>
                <w:p w14:paraId="0DC006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有组织产生量</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t/a</w:t>
                  </w:r>
                  <w:r>
                    <w:rPr>
                      <w:rFonts w:hint="default" w:ascii="Times New Roman" w:hAnsi="Times New Roman" w:eastAsia="宋体" w:cs="Times New Roman"/>
                      <w:b/>
                      <w:bCs/>
                      <w:color w:val="auto"/>
                      <w:sz w:val="21"/>
                      <w:szCs w:val="21"/>
                      <w:lang w:eastAsia="zh-CN"/>
                    </w:rPr>
                    <w:t>）</w:t>
                  </w:r>
                </w:p>
              </w:tc>
              <w:tc>
                <w:tcPr>
                  <w:tcW w:w="1297" w:type="dxa"/>
                  <w:noWrap w:val="0"/>
                  <w:vAlign w:val="center"/>
                </w:tcPr>
                <w:p w14:paraId="4E0757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无组织产生量（t/a）</w:t>
                  </w:r>
                </w:p>
              </w:tc>
            </w:tr>
            <w:tr w14:paraId="52FD44B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840" w:hRule="atLeast"/>
                <w:jc w:val="center"/>
              </w:trPr>
              <w:tc>
                <w:tcPr>
                  <w:tcW w:w="1952" w:type="dxa"/>
                  <w:noWrap w:val="0"/>
                  <w:vAlign w:val="center"/>
                </w:tcPr>
                <w:p w14:paraId="73C2BF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投料粉尘G1</w:t>
                  </w:r>
                </w:p>
              </w:tc>
              <w:tc>
                <w:tcPr>
                  <w:tcW w:w="1151" w:type="dxa"/>
                  <w:noWrap w:val="0"/>
                  <w:vAlign w:val="center"/>
                </w:tcPr>
                <w:p w14:paraId="09A9BB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颗粒物</w:t>
                  </w:r>
                </w:p>
              </w:tc>
              <w:tc>
                <w:tcPr>
                  <w:tcW w:w="1287" w:type="dxa"/>
                  <w:noWrap w:val="0"/>
                  <w:vAlign w:val="center"/>
                </w:tcPr>
                <w:p w14:paraId="7DD30A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PVC、重质碳酸钙、环保热稳定剂、色母</w:t>
                  </w:r>
                </w:p>
              </w:tc>
              <w:tc>
                <w:tcPr>
                  <w:tcW w:w="738" w:type="dxa"/>
                  <w:noWrap w:val="0"/>
                  <w:vAlign w:val="center"/>
                </w:tcPr>
                <w:p w14:paraId="3C4A69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系数法</w:t>
                  </w:r>
                </w:p>
              </w:tc>
              <w:tc>
                <w:tcPr>
                  <w:tcW w:w="1449" w:type="dxa"/>
                  <w:noWrap w:val="0"/>
                  <w:vAlign w:val="center"/>
                </w:tcPr>
                <w:p w14:paraId="02C8E5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95</w:t>
                  </w:r>
                  <w:r>
                    <w:rPr>
                      <w:rFonts w:hint="default" w:ascii="Times New Roman" w:hAnsi="Times New Roman" w:eastAsia="宋体" w:cs="Times New Roman"/>
                      <w:color w:val="auto"/>
                      <w:sz w:val="21"/>
                      <w:szCs w:val="21"/>
                      <w:lang w:val="en-US" w:eastAsia="zh-CN"/>
                    </w:rPr>
                    <w:t>0</w:t>
                  </w:r>
                </w:p>
              </w:tc>
              <w:tc>
                <w:tcPr>
                  <w:tcW w:w="1372" w:type="dxa"/>
                  <w:noWrap w:val="0"/>
                  <w:vAlign w:val="center"/>
                </w:tcPr>
                <w:p w14:paraId="7DED2D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1kg/t原料</w:t>
                  </w:r>
                </w:p>
              </w:tc>
              <w:tc>
                <w:tcPr>
                  <w:tcW w:w="956" w:type="dxa"/>
                  <w:noWrap w:val="0"/>
                  <w:vAlign w:val="center"/>
                </w:tcPr>
                <w:p w14:paraId="1F1797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0.95</w:t>
                  </w:r>
                </w:p>
              </w:tc>
              <w:tc>
                <w:tcPr>
                  <w:tcW w:w="1301" w:type="dxa"/>
                  <w:noWrap w:val="0"/>
                  <w:vAlign w:val="center"/>
                </w:tcPr>
                <w:p w14:paraId="075ED5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集气罩收集</w:t>
                  </w:r>
                </w:p>
              </w:tc>
              <w:tc>
                <w:tcPr>
                  <w:tcW w:w="724" w:type="dxa"/>
                  <w:noWrap w:val="0"/>
                  <w:vAlign w:val="center"/>
                </w:tcPr>
                <w:p w14:paraId="204569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1234" w:type="dxa"/>
                  <w:noWrap w:val="0"/>
                  <w:vAlign w:val="center"/>
                </w:tcPr>
                <w:p w14:paraId="4488DF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0.86</w:t>
                  </w:r>
                </w:p>
              </w:tc>
              <w:tc>
                <w:tcPr>
                  <w:tcW w:w="1297" w:type="dxa"/>
                  <w:noWrap w:val="0"/>
                  <w:vAlign w:val="center"/>
                </w:tcPr>
                <w:p w14:paraId="7E2B76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09</w:t>
                  </w:r>
                </w:p>
              </w:tc>
            </w:tr>
            <w:tr w14:paraId="57C2EF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952" w:type="dxa"/>
                  <w:vMerge w:val="restart"/>
                  <w:noWrap w:val="0"/>
                  <w:vAlign w:val="center"/>
                </w:tcPr>
                <w:p w14:paraId="77D5DC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挤出废气</w:t>
                  </w:r>
                  <w:r>
                    <w:rPr>
                      <w:rFonts w:hint="default" w:ascii="Times New Roman" w:hAnsi="Times New Roman" w:eastAsia="宋体" w:cs="Times New Roman"/>
                      <w:color w:val="auto"/>
                    </w:rPr>
                    <w:t>G</w:t>
                  </w:r>
                  <w:r>
                    <w:rPr>
                      <w:rFonts w:hint="default" w:ascii="Times New Roman" w:hAnsi="Times New Roman" w:eastAsia="宋体" w:cs="Times New Roman"/>
                      <w:color w:val="auto"/>
                      <w:lang w:val="en-US" w:eastAsia="zh-CN"/>
                    </w:rPr>
                    <w:t>2</w:t>
                  </w:r>
                </w:p>
              </w:tc>
              <w:tc>
                <w:tcPr>
                  <w:tcW w:w="1151" w:type="dxa"/>
                  <w:vMerge w:val="restart"/>
                  <w:noWrap w:val="0"/>
                  <w:vAlign w:val="center"/>
                </w:tcPr>
                <w:p w14:paraId="2EF5D9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非甲烷总烃</w:t>
                  </w:r>
                </w:p>
              </w:tc>
              <w:tc>
                <w:tcPr>
                  <w:tcW w:w="1287" w:type="dxa"/>
                  <w:shd w:val="clear" w:color="auto" w:fill="auto"/>
                  <w:noWrap w:val="0"/>
                  <w:vAlign w:val="center"/>
                </w:tcPr>
                <w:p w14:paraId="39F0F5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PVC</w:t>
                  </w:r>
                </w:p>
              </w:tc>
              <w:tc>
                <w:tcPr>
                  <w:tcW w:w="738" w:type="dxa"/>
                  <w:shd w:val="clear" w:color="auto" w:fill="auto"/>
                  <w:noWrap w:val="0"/>
                  <w:vAlign w:val="center"/>
                </w:tcPr>
                <w:p w14:paraId="45926A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系数法</w:t>
                  </w:r>
                </w:p>
              </w:tc>
              <w:tc>
                <w:tcPr>
                  <w:tcW w:w="1449" w:type="dxa"/>
                  <w:shd w:val="clear" w:color="auto" w:fill="auto"/>
                  <w:noWrap w:val="0"/>
                  <w:vAlign w:val="center"/>
                </w:tcPr>
                <w:p w14:paraId="53AAB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400</w:t>
                  </w:r>
                </w:p>
              </w:tc>
              <w:tc>
                <w:tcPr>
                  <w:tcW w:w="1372" w:type="dxa"/>
                  <w:shd w:val="clear" w:color="auto" w:fill="auto"/>
                  <w:noWrap w:val="0"/>
                  <w:vAlign w:val="center"/>
                </w:tcPr>
                <w:p w14:paraId="0F233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0.35kg/t原料</w:t>
                  </w:r>
                </w:p>
              </w:tc>
              <w:tc>
                <w:tcPr>
                  <w:tcW w:w="956" w:type="dxa"/>
                  <w:shd w:val="clear" w:color="auto" w:fill="auto"/>
                  <w:noWrap w:val="0"/>
                  <w:vAlign w:val="center"/>
                </w:tcPr>
                <w:p w14:paraId="50206F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0.14</w:t>
                  </w:r>
                </w:p>
              </w:tc>
              <w:tc>
                <w:tcPr>
                  <w:tcW w:w="1301" w:type="dxa"/>
                  <w:shd w:val="clear" w:color="auto" w:fill="auto"/>
                  <w:noWrap w:val="0"/>
                  <w:vAlign w:val="center"/>
                </w:tcPr>
                <w:p w14:paraId="5D959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集气罩收集</w:t>
                  </w:r>
                </w:p>
              </w:tc>
              <w:tc>
                <w:tcPr>
                  <w:tcW w:w="724" w:type="dxa"/>
                  <w:shd w:val="clear" w:color="auto" w:fill="auto"/>
                  <w:noWrap w:val="0"/>
                  <w:vAlign w:val="center"/>
                </w:tcPr>
                <w:p w14:paraId="7595CD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w:t>
                  </w:r>
                </w:p>
              </w:tc>
              <w:tc>
                <w:tcPr>
                  <w:tcW w:w="1234" w:type="dxa"/>
                  <w:shd w:val="clear" w:color="auto" w:fill="auto"/>
                  <w:noWrap w:val="0"/>
                  <w:vAlign w:val="center"/>
                </w:tcPr>
                <w:p w14:paraId="767F22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0.13</w:t>
                  </w:r>
                </w:p>
              </w:tc>
              <w:tc>
                <w:tcPr>
                  <w:tcW w:w="1297" w:type="dxa"/>
                  <w:shd w:val="clear" w:color="auto" w:fill="auto"/>
                  <w:noWrap w:val="0"/>
                  <w:vAlign w:val="center"/>
                </w:tcPr>
                <w:p w14:paraId="220CEE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0.01</w:t>
                  </w:r>
                </w:p>
              </w:tc>
            </w:tr>
            <w:tr w14:paraId="48E3E9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952" w:type="dxa"/>
                  <w:vMerge w:val="continue"/>
                  <w:noWrap w:val="0"/>
                  <w:vAlign w:val="center"/>
                </w:tcPr>
                <w:p w14:paraId="423416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p>
              </w:tc>
              <w:tc>
                <w:tcPr>
                  <w:tcW w:w="1151" w:type="dxa"/>
                  <w:vMerge w:val="continue"/>
                  <w:noWrap w:val="0"/>
                  <w:vAlign w:val="center"/>
                </w:tcPr>
                <w:p w14:paraId="388AC8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p>
              </w:tc>
              <w:tc>
                <w:tcPr>
                  <w:tcW w:w="1287" w:type="dxa"/>
                  <w:shd w:val="clear" w:color="auto" w:fill="auto"/>
                  <w:noWrap w:val="0"/>
                  <w:vAlign w:val="center"/>
                </w:tcPr>
                <w:p w14:paraId="27F7D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环氧大豆油</w:t>
                  </w:r>
                </w:p>
              </w:tc>
              <w:tc>
                <w:tcPr>
                  <w:tcW w:w="738" w:type="dxa"/>
                  <w:shd w:val="clear" w:color="auto" w:fill="auto"/>
                  <w:noWrap w:val="0"/>
                  <w:vAlign w:val="center"/>
                </w:tcPr>
                <w:p w14:paraId="153D84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物料平衡</w:t>
                  </w:r>
                </w:p>
              </w:tc>
              <w:tc>
                <w:tcPr>
                  <w:tcW w:w="1449" w:type="dxa"/>
                  <w:shd w:val="clear" w:color="auto" w:fill="auto"/>
                  <w:noWrap w:val="0"/>
                  <w:vAlign w:val="center"/>
                </w:tcPr>
                <w:p w14:paraId="1FDCF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r>
                    <w:rPr>
                      <w:rFonts w:hint="eastAsia" w:cs="Times New Roman"/>
                      <w:color w:val="auto"/>
                      <w:sz w:val="21"/>
                      <w:szCs w:val="21"/>
                      <w:lang w:val="en-US" w:eastAsia="zh-CN"/>
                    </w:rPr>
                    <w:t>4</w:t>
                  </w:r>
                </w:p>
              </w:tc>
              <w:tc>
                <w:tcPr>
                  <w:tcW w:w="1372" w:type="dxa"/>
                  <w:shd w:val="clear" w:color="auto" w:fill="auto"/>
                  <w:noWrap w:val="0"/>
                  <w:vAlign w:val="center"/>
                </w:tcPr>
                <w:p w14:paraId="2AF9ED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956" w:type="dxa"/>
                  <w:shd w:val="clear" w:color="auto" w:fill="auto"/>
                  <w:noWrap w:val="0"/>
                  <w:vAlign w:val="center"/>
                </w:tcPr>
                <w:p w14:paraId="0C81AB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r>
                    <w:rPr>
                      <w:rFonts w:hint="eastAsia" w:cs="Times New Roman"/>
                      <w:color w:val="auto"/>
                      <w:sz w:val="21"/>
                      <w:szCs w:val="21"/>
                      <w:lang w:val="en-US" w:eastAsia="zh-CN"/>
                    </w:rPr>
                    <w:t>1</w:t>
                  </w:r>
                </w:p>
              </w:tc>
              <w:tc>
                <w:tcPr>
                  <w:tcW w:w="1301" w:type="dxa"/>
                  <w:shd w:val="clear" w:color="auto" w:fill="auto"/>
                  <w:noWrap w:val="0"/>
                  <w:vAlign w:val="center"/>
                </w:tcPr>
                <w:p w14:paraId="3CD787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集气罩收集</w:t>
                  </w:r>
                </w:p>
              </w:tc>
              <w:tc>
                <w:tcPr>
                  <w:tcW w:w="724" w:type="dxa"/>
                  <w:shd w:val="clear" w:color="auto" w:fill="auto"/>
                  <w:noWrap w:val="0"/>
                  <w:vAlign w:val="center"/>
                </w:tcPr>
                <w:p w14:paraId="24F9D7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w:t>
                  </w:r>
                </w:p>
              </w:tc>
              <w:tc>
                <w:tcPr>
                  <w:tcW w:w="1234" w:type="dxa"/>
                  <w:shd w:val="clear" w:color="auto" w:fill="auto"/>
                  <w:noWrap w:val="0"/>
                  <w:vAlign w:val="center"/>
                </w:tcPr>
                <w:p w14:paraId="068332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10</w:t>
                  </w:r>
                </w:p>
              </w:tc>
              <w:tc>
                <w:tcPr>
                  <w:tcW w:w="1297" w:type="dxa"/>
                  <w:shd w:val="clear" w:color="auto" w:fill="auto"/>
                  <w:noWrap w:val="0"/>
                  <w:vAlign w:val="center"/>
                </w:tcPr>
                <w:p w14:paraId="6892ED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r>
            <w:tr w14:paraId="7F68F1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952" w:type="dxa"/>
                  <w:vMerge w:val="continue"/>
                  <w:noWrap w:val="0"/>
                  <w:vAlign w:val="center"/>
                </w:tcPr>
                <w:p w14:paraId="13C293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lang w:val="en-US" w:eastAsia="zh-CN"/>
                    </w:rPr>
                  </w:pPr>
                </w:p>
              </w:tc>
              <w:tc>
                <w:tcPr>
                  <w:tcW w:w="1151" w:type="dxa"/>
                  <w:noWrap w:val="0"/>
                  <w:vAlign w:val="center"/>
                </w:tcPr>
                <w:p w14:paraId="78C676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氯化氢、氯乙烯</w:t>
                  </w:r>
                </w:p>
              </w:tc>
              <w:tc>
                <w:tcPr>
                  <w:tcW w:w="1287" w:type="dxa"/>
                  <w:shd w:val="clear" w:color="auto" w:fill="auto"/>
                  <w:noWrap w:val="0"/>
                  <w:vAlign w:val="center"/>
                </w:tcPr>
                <w:p w14:paraId="27F32D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PVC</w:t>
                  </w:r>
                </w:p>
              </w:tc>
              <w:tc>
                <w:tcPr>
                  <w:tcW w:w="738" w:type="dxa"/>
                  <w:shd w:val="clear" w:color="auto" w:fill="auto"/>
                  <w:noWrap w:val="0"/>
                  <w:vAlign w:val="center"/>
                </w:tcPr>
                <w:p w14:paraId="260461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定性分析</w:t>
                  </w:r>
                </w:p>
              </w:tc>
              <w:tc>
                <w:tcPr>
                  <w:tcW w:w="1449" w:type="dxa"/>
                  <w:shd w:val="clear" w:color="auto" w:fill="auto"/>
                  <w:noWrap w:val="0"/>
                  <w:vAlign w:val="center"/>
                </w:tcPr>
                <w:p w14:paraId="349D60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372" w:type="dxa"/>
                  <w:shd w:val="clear" w:color="auto" w:fill="auto"/>
                  <w:noWrap w:val="0"/>
                  <w:vAlign w:val="center"/>
                </w:tcPr>
                <w:p w14:paraId="4E6129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956" w:type="dxa"/>
                  <w:shd w:val="clear" w:color="auto" w:fill="auto"/>
                  <w:noWrap w:val="0"/>
                  <w:vAlign w:val="center"/>
                </w:tcPr>
                <w:p w14:paraId="04BA7F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301" w:type="dxa"/>
                  <w:shd w:val="clear" w:color="auto" w:fill="auto"/>
                  <w:noWrap w:val="0"/>
                  <w:vAlign w:val="center"/>
                </w:tcPr>
                <w:p w14:paraId="0F805F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24" w:type="dxa"/>
                  <w:shd w:val="clear" w:color="auto" w:fill="auto"/>
                  <w:noWrap w:val="0"/>
                  <w:vAlign w:val="center"/>
                </w:tcPr>
                <w:p w14:paraId="5F6F2B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4" w:type="dxa"/>
                  <w:shd w:val="clear" w:color="auto" w:fill="auto"/>
                  <w:noWrap w:val="0"/>
                  <w:vAlign w:val="center"/>
                </w:tcPr>
                <w:p w14:paraId="44AF02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97" w:type="dxa"/>
                  <w:shd w:val="clear" w:color="auto" w:fill="auto"/>
                  <w:noWrap w:val="0"/>
                  <w:vAlign w:val="center"/>
                </w:tcPr>
                <w:p w14:paraId="3B9A77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7E53C9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noWrap w:val="0"/>
                  <w:vAlign w:val="center"/>
                </w:tcPr>
                <w:p w14:paraId="402142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破碎粉尘G3</w:t>
                  </w:r>
                </w:p>
              </w:tc>
              <w:tc>
                <w:tcPr>
                  <w:tcW w:w="1151" w:type="dxa"/>
                  <w:noWrap w:val="0"/>
                  <w:vAlign w:val="center"/>
                </w:tcPr>
                <w:p w14:paraId="07E8D3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287" w:type="dxa"/>
                  <w:noWrap w:val="0"/>
                  <w:vAlign w:val="center"/>
                </w:tcPr>
                <w:p w14:paraId="5E9856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不合格品</w:t>
                  </w:r>
                </w:p>
              </w:tc>
              <w:tc>
                <w:tcPr>
                  <w:tcW w:w="738" w:type="dxa"/>
                  <w:noWrap w:val="0"/>
                  <w:vAlign w:val="center"/>
                </w:tcPr>
                <w:p w14:paraId="47E228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定性分析</w:t>
                  </w:r>
                </w:p>
              </w:tc>
              <w:tc>
                <w:tcPr>
                  <w:tcW w:w="1449" w:type="dxa"/>
                  <w:noWrap w:val="0"/>
                  <w:vAlign w:val="center"/>
                </w:tcPr>
                <w:p w14:paraId="0E64AA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372" w:type="dxa"/>
                  <w:noWrap w:val="0"/>
                  <w:vAlign w:val="center"/>
                </w:tcPr>
                <w:p w14:paraId="361FDD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56" w:type="dxa"/>
                  <w:noWrap w:val="0"/>
                  <w:vAlign w:val="center"/>
                </w:tcPr>
                <w:p w14:paraId="101FE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301" w:type="dxa"/>
                  <w:noWrap w:val="0"/>
                  <w:vAlign w:val="center"/>
                </w:tcPr>
                <w:p w14:paraId="61E03A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4" w:type="dxa"/>
                  <w:noWrap w:val="0"/>
                  <w:vAlign w:val="center"/>
                </w:tcPr>
                <w:p w14:paraId="1E35A0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4" w:type="dxa"/>
                  <w:noWrap w:val="0"/>
                  <w:vAlign w:val="center"/>
                </w:tcPr>
                <w:p w14:paraId="1095E4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97" w:type="dxa"/>
                  <w:noWrap w:val="0"/>
                  <w:vAlign w:val="center"/>
                </w:tcPr>
                <w:p w14:paraId="6C7709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4590C7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noWrap w:val="0"/>
                  <w:vAlign w:val="center"/>
                </w:tcPr>
                <w:p w14:paraId="0B8224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整平粉尘G4</w:t>
                  </w:r>
                </w:p>
              </w:tc>
              <w:tc>
                <w:tcPr>
                  <w:tcW w:w="1151" w:type="dxa"/>
                  <w:noWrap w:val="0"/>
                  <w:vAlign w:val="center"/>
                </w:tcPr>
                <w:p w14:paraId="336DDC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287" w:type="dxa"/>
                  <w:noWrap w:val="0"/>
                  <w:vAlign w:val="center"/>
                </w:tcPr>
                <w:p w14:paraId="2FA5DB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游艇甲板</w:t>
                  </w:r>
                </w:p>
              </w:tc>
              <w:tc>
                <w:tcPr>
                  <w:tcW w:w="738" w:type="dxa"/>
                  <w:shd w:val="clear" w:color="auto" w:fill="auto"/>
                  <w:noWrap w:val="0"/>
                  <w:vAlign w:val="center"/>
                </w:tcPr>
                <w:p w14:paraId="740D5A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物料平衡</w:t>
                  </w:r>
                </w:p>
              </w:tc>
              <w:tc>
                <w:tcPr>
                  <w:tcW w:w="1449" w:type="dxa"/>
                  <w:shd w:val="clear" w:color="auto" w:fill="auto"/>
                  <w:noWrap w:val="0"/>
                  <w:vAlign w:val="center"/>
                </w:tcPr>
                <w:p w14:paraId="113AC4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372" w:type="dxa"/>
                  <w:shd w:val="clear" w:color="auto" w:fill="auto"/>
                  <w:noWrap w:val="0"/>
                  <w:vAlign w:val="center"/>
                </w:tcPr>
                <w:p w14:paraId="70F1D5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956" w:type="dxa"/>
                  <w:shd w:val="clear" w:color="auto" w:fill="auto"/>
                  <w:noWrap w:val="0"/>
                  <w:vAlign w:val="center"/>
                </w:tcPr>
                <w:p w14:paraId="15C90C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301" w:type="dxa"/>
                  <w:shd w:val="clear" w:color="auto" w:fill="auto"/>
                  <w:noWrap w:val="0"/>
                  <w:vAlign w:val="center"/>
                </w:tcPr>
                <w:p w14:paraId="5F86F9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24" w:type="dxa"/>
                  <w:shd w:val="clear" w:color="auto" w:fill="auto"/>
                  <w:noWrap w:val="0"/>
                  <w:vAlign w:val="center"/>
                </w:tcPr>
                <w:p w14:paraId="0EE74C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34" w:type="dxa"/>
                  <w:shd w:val="clear" w:color="auto" w:fill="auto"/>
                  <w:noWrap w:val="0"/>
                  <w:vAlign w:val="center"/>
                </w:tcPr>
                <w:p w14:paraId="336196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297" w:type="dxa"/>
                  <w:shd w:val="clear" w:color="auto" w:fill="auto"/>
                  <w:noWrap w:val="0"/>
                  <w:vAlign w:val="center"/>
                </w:tcPr>
                <w:p w14:paraId="58F39E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44686C4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noWrap w:val="0"/>
                  <w:vAlign w:val="center"/>
                </w:tcPr>
                <w:p w14:paraId="36C9A9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eastAsia="zh-CN"/>
                    </w:rPr>
                    <w:t>危废仓库废气G</w:t>
                  </w:r>
                  <w:r>
                    <w:rPr>
                      <w:rFonts w:hint="default" w:ascii="Times New Roman" w:hAnsi="Times New Roman" w:eastAsia="宋体" w:cs="Times New Roman"/>
                      <w:bCs/>
                      <w:color w:val="auto"/>
                      <w:sz w:val="21"/>
                      <w:szCs w:val="21"/>
                      <w:lang w:val="en-US" w:eastAsia="zh-CN"/>
                    </w:rPr>
                    <w:t>5</w:t>
                  </w:r>
                </w:p>
              </w:tc>
              <w:tc>
                <w:tcPr>
                  <w:tcW w:w="1151" w:type="dxa"/>
                  <w:noWrap w:val="0"/>
                  <w:vAlign w:val="center"/>
                </w:tcPr>
                <w:p w14:paraId="6E26A3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w:t>
                  </w:r>
                </w:p>
              </w:tc>
              <w:tc>
                <w:tcPr>
                  <w:tcW w:w="1287" w:type="dxa"/>
                  <w:noWrap w:val="0"/>
                  <w:vAlign w:val="center"/>
                </w:tcPr>
                <w:p w14:paraId="54BC73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w:t>
                  </w:r>
                </w:p>
              </w:tc>
              <w:tc>
                <w:tcPr>
                  <w:tcW w:w="738" w:type="dxa"/>
                  <w:noWrap w:val="0"/>
                  <w:vAlign w:val="center"/>
                </w:tcPr>
                <w:p w14:paraId="4911EE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定性分析</w:t>
                  </w:r>
                </w:p>
              </w:tc>
              <w:tc>
                <w:tcPr>
                  <w:tcW w:w="1449" w:type="dxa"/>
                  <w:noWrap w:val="0"/>
                  <w:vAlign w:val="center"/>
                </w:tcPr>
                <w:p w14:paraId="33AFF5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372" w:type="dxa"/>
                  <w:noWrap w:val="0"/>
                  <w:vAlign w:val="center"/>
                </w:tcPr>
                <w:p w14:paraId="3E337C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56" w:type="dxa"/>
                  <w:noWrap w:val="0"/>
                  <w:vAlign w:val="center"/>
                </w:tcPr>
                <w:p w14:paraId="5EAE40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301" w:type="dxa"/>
                  <w:noWrap w:val="0"/>
                  <w:vAlign w:val="center"/>
                </w:tcPr>
                <w:p w14:paraId="6379B6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24" w:type="dxa"/>
                  <w:noWrap w:val="0"/>
                  <w:vAlign w:val="center"/>
                </w:tcPr>
                <w:p w14:paraId="42B331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34" w:type="dxa"/>
                  <w:noWrap w:val="0"/>
                  <w:vAlign w:val="center"/>
                </w:tcPr>
                <w:p w14:paraId="4F80B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297" w:type="dxa"/>
                  <w:noWrap w:val="0"/>
                  <w:vAlign w:val="center"/>
                </w:tcPr>
                <w:p w14:paraId="43F153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370BBEC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vMerge w:val="restart"/>
                  <w:noWrap w:val="0"/>
                  <w:vAlign w:val="center"/>
                </w:tcPr>
                <w:p w14:paraId="3FABE5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合计</w:t>
                  </w:r>
                </w:p>
              </w:tc>
              <w:tc>
                <w:tcPr>
                  <w:tcW w:w="1151" w:type="dxa"/>
                  <w:noWrap w:val="0"/>
                  <w:vAlign w:val="center"/>
                </w:tcPr>
                <w:p w14:paraId="7D3255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非甲烷总烃</w:t>
                  </w:r>
                </w:p>
              </w:tc>
              <w:tc>
                <w:tcPr>
                  <w:tcW w:w="1287" w:type="dxa"/>
                  <w:noWrap w:val="0"/>
                  <w:vAlign w:val="center"/>
                </w:tcPr>
                <w:p w14:paraId="72DB5E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38" w:type="dxa"/>
                  <w:noWrap w:val="0"/>
                  <w:vAlign w:val="center"/>
                </w:tcPr>
                <w:p w14:paraId="164B86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449" w:type="dxa"/>
                  <w:noWrap w:val="0"/>
                  <w:vAlign w:val="center"/>
                </w:tcPr>
                <w:p w14:paraId="6AE4B8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372" w:type="dxa"/>
                  <w:noWrap w:val="0"/>
                  <w:vAlign w:val="center"/>
                </w:tcPr>
                <w:p w14:paraId="487548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56" w:type="dxa"/>
                  <w:noWrap w:val="0"/>
                  <w:vAlign w:val="center"/>
                </w:tcPr>
                <w:p w14:paraId="46A0EE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0.2</w:t>
                  </w:r>
                  <w:r>
                    <w:rPr>
                      <w:rFonts w:hint="eastAsia" w:cs="Times New Roman"/>
                      <w:color w:val="auto"/>
                      <w:sz w:val="21"/>
                      <w:szCs w:val="21"/>
                      <w:lang w:val="en-US" w:eastAsia="zh-CN"/>
                    </w:rPr>
                    <w:t>5</w:t>
                  </w:r>
                </w:p>
              </w:tc>
              <w:tc>
                <w:tcPr>
                  <w:tcW w:w="1301" w:type="dxa"/>
                  <w:noWrap w:val="0"/>
                  <w:vAlign w:val="center"/>
                </w:tcPr>
                <w:p w14:paraId="094366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724" w:type="dxa"/>
                  <w:noWrap w:val="0"/>
                  <w:vAlign w:val="center"/>
                </w:tcPr>
                <w:p w14:paraId="2E5D62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234" w:type="dxa"/>
                  <w:noWrap w:val="0"/>
                  <w:vAlign w:val="center"/>
                </w:tcPr>
                <w:p w14:paraId="2E1158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0.2</w:t>
                  </w:r>
                  <w:r>
                    <w:rPr>
                      <w:rFonts w:hint="eastAsia" w:cs="Times New Roman"/>
                      <w:color w:val="auto"/>
                      <w:sz w:val="21"/>
                      <w:szCs w:val="21"/>
                      <w:lang w:val="en-US" w:eastAsia="zh-CN"/>
                    </w:rPr>
                    <w:t>3</w:t>
                  </w:r>
                </w:p>
              </w:tc>
              <w:tc>
                <w:tcPr>
                  <w:tcW w:w="1297" w:type="dxa"/>
                  <w:noWrap w:val="0"/>
                  <w:vAlign w:val="center"/>
                </w:tcPr>
                <w:p w14:paraId="6A834A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0.02</w:t>
                  </w:r>
                </w:p>
              </w:tc>
            </w:tr>
            <w:tr w14:paraId="61B4E9E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952" w:type="dxa"/>
                  <w:vMerge w:val="continue"/>
                  <w:noWrap w:val="0"/>
                  <w:vAlign w:val="center"/>
                </w:tcPr>
                <w:p w14:paraId="7A0BA6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p>
              </w:tc>
              <w:tc>
                <w:tcPr>
                  <w:tcW w:w="1151" w:type="dxa"/>
                  <w:noWrap w:val="0"/>
                  <w:vAlign w:val="center"/>
                </w:tcPr>
                <w:p w14:paraId="29C2E2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颗粒物</w:t>
                  </w:r>
                </w:p>
              </w:tc>
              <w:tc>
                <w:tcPr>
                  <w:tcW w:w="1287" w:type="dxa"/>
                  <w:shd w:val="clear" w:color="auto" w:fill="auto"/>
                  <w:noWrap w:val="0"/>
                  <w:vAlign w:val="center"/>
                </w:tcPr>
                <w:p w14:paraId="6A878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38" w:type="dxa"/>
                  <w:shd w:val="clear" w:color="auto" w:fill="auto"/>
                  <w:noWrap w:val="0"/>
                  <w:vAlign w:val="center"/>
                </w:tcPr>
                <w:p w14:paraId="524C8E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449" w:type="dxa"/>
                  <w:shd w:val="clear" w:color="auto" w:fill="auto"/>
                  <w:noWrap w:val="0"/>
                  <w:vAlign w:val="center"/>
                </w:tcPr>
                <w:p w14:paraId="5243AE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1372" w:type="dxa"/>
                  <w:shd w:val="clear" w:color="auto" w:fill="auto"/>
                  <w:noWrap w:val="0"/>
                  <w:vAlign w:val="center"/>
                </w:tcPr>
                <w:p w14:paraId="5E7A23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956" w:type="dxa"/>
                  <w:shd w:val="clear" w:color="auto" w:fill="auto"/>
                  <w:noWrap w:val="0"/>
                  <w:vAlign w:val="center"/>
                </w:tcPr>
                <w:p w14:paraId="3D754B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0.95</w:t>
                  </w:r>
                </w:p>
              </w:tc>
              <w:tc>
                <w:tcPr>
                  <w:tcW w:w="1301" w:type="dxa"/>
                  <w:shd w:val="clear" w:color="auto" w:fill="auto"/>
                  <w:noWrap w:val="0"/>
                  <w:vAlign w:val="center"/>
                </w:tcPr>
                <w:p w14:paraId="6E43BA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724" w:type="dxa"/>
                  <w:shd w:val="clear" w:color="auto" w:fill="auto"/>
                  <w:noWrap w:val="0"/>
                  <w:vAlign w:val="center"/>
                </w:tcPr>
                <w:p w14:paraId="694F0A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234" w:type="dxa"/>
                  <w:shd w:val="clear" w:color="auto" w:fill="auto"/>
                  <w:noWrap w:val="0"/>
                  <w:vAlign w:val="center"/>
                </w:tcPr>
                <w:p w14:paraId="3F08FA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0.86</w:t>
                  </w:r>
                </w:p>
              </w:tc>
              <w:tc>
                <w:tcPr>
                  <w:tcW w:w="1297" w:type="dxa"/>
                  <w:shd w:val="clear" w:color="auto" w:fill="auto"/>
                  <w:noWrap w:val="0"/>
                  <w:vAlign w:val="center"/>
                </w:tcPr>
                <w:p w14:paraId="2D7971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09</w:t>
                  </w:r>
                </w:p>
              </w:tc>
            </w:tr>
            <w:bookmarkEnd w:id="5"/>
          </w:tbl>
          <w:p w14:paraId="14222CF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2.1.3废气产生及排放情况汇总</w:t>
            </w:r>
          </w:p>
          <w:p w14:paraId="71963FE8">
            <w:pPr>
              <w:autoSpaceDE w:val="0"/>
              <w:autoSpaceDN w:val="0"/>
              <w:spacing w:line="360" w:lineRule="auto"/>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本项目有组织废气产生及排放情况详见</w:t>
            </w:r>
            <w:r>
              <w:rPr>
                <w:rFonts w:hint="default" w:ascii="Times New Roman" w:hAnsi="Times New Roman" w:eastAsia="宋体" w:cs="Times New Roman"/>
                <w:color w:val="auto"/>
                <w:sz w:val="24"/>
                <w:szCs w:val="24"/>
                <w:lang w:eastAsia="zh-CN"/>
              </w:rPr>
              <w:t>表4.2-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，无组织废气排放情况详见表4</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p>
          <w:p w14:paraId="50789CDE">
            <w:pPr>
              <w:spacing w:line="240" w:lineRule="auto"/>
              <w:ind w:firstLine="0" w:firstLineChars="0"/>
              <w:jc w:val="center"/>
              <w:rPr>
                <w:rFonts w:hint="default" w:ascii="Times New Roman" w:hAnsi="Times New Roman" w:eastAsia="宋体" w:cs="Times New Roman"/>
                <w:b/>
                <w:bCs/>
                <w:color w:val="auto"/>
                <w:sz w:val="21"/>
                <w:szCs w:val="21"/>
                <w:lang w:eastAsia="zh-CN"/>
              </w:rPr>
            </w:pPr>
          </w:p>
          <w:p w14:paraId="05276E49">
            <w:pPr>
              <w:spacing w:line="240" w:lineRule="auto"/>
              <w:ind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21"/>
                <w:szCs w:val="21"/>
                <w:lang w:eastAsia="zh-CN"/>
              </w:rPr>
              <w:t>表4.2-</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项目废气有组织产生及排放情况一览表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17"/>
              <w:gridCol w:w="680"/>
              <w:gridCol w:w="560"/>
              <w:gridCol w:w="722"/>
              <w:gridCol w:w="831"/>
              <w:gridCol w:w="827"/>
              <w:gridCol w:w="827"/>
              <w:gridCol w:w="445"/>
              <w:gridCol w:w="663"/>
              <w:gridCol w:w="445"/>
              <w:gridCol w:w="831"/>
              <w:gridCol w:w="827"/>
              <w:gridCol w:w="827"/>
              <w:gridCol w:w="831"/>
              <w:gridCol w:w="638"/>
              <w:gridCol w:w="445"/>
              <w:gridCol w:w="608"/>
              <w:gridCol w:w="462"/>
              <w:gridCol w:w="445"/>
              <w:gridCol w:w="930"/>
            </w:tblGrid>
            <w:tr w14:paraId="2F719F9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7" w:type="dxa"/>
                  <w:vMerge w:val="restart"/>
                  <w:noWrap w:val="0"/>
                  <w:vAlign w:val="center"/>
                </w:tcPr>
                <w:p w14:paraId="52A3CE8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bookmarkStart w:id="6" w:name="_Hlk130048623"/>
                  <w:r>
                    <w:rPr>
                      <w:rFonts w:hint="default" w:ascii="Times New Roman" w:hAnsi="Times New Roman" w:eastAsia="宋体" w:cs="Times New Roman"/>
                      <w:b/>
                      <w:bCs/>
                      <w:color w:val="auto"/>
                      <w:sz w:val="21"/>
                      <w:szCs w:val="21"/>
                    </w:rPr>
                    <w:t>编号</w:t>
                  </w:r>
                </w:p>
              </w:tc>
              <w:tc>
                <w:tcPr>
                  <w:tcW w:w="680" w:type="dxa"/>
                  <w:vMerge w:val="restart"/>
                  <w:noWrap w:val="0"/>
                  <w:vAlign w:val="center"/>
                </w:tcPr>
                <w:p w14:paraId="3FF711D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废气量</w:t>
                  </w:r>
                </w:p>
                <w:p w14:paraId="7BA570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/h</w:t>
                  </w:r>
                </w:p>
              </w:tc>
              <w:tc>
                <w:tcPr>
                  <w:tcW w:w="560" w:type="dxa"/>
                  <w:vMerge w:val="restart"/>
                  <w:noWrap w:val="0"/>
                  <w:vAlign w:val="center"/>
                </w:tcPr>
                <w:p w14:paraId="7C7FA5C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废气名称</w:t>
                  </w:r>
                </w:p>
              </w:tc>
              <w:tc>
                <w:tcPr>
                  <w:tcW w:w="3207" w:type="dxa"/>
                  <w:gridSpan w:val="4"/>
                  <w:noWrap w:val="0"/>
                  <w:vAlign w:val="center"/>
                </w:tcPr>
                <w:p w14:paraId="0DD90D8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产生情况</w:t>
                  </w:r>
                </w:p>
              </w:tc>
              <w:tc>
                <w:tcPr>
                  <w:tcW w:w="1553" w:type="dxa"/>
                  <w:gridSpan w:val="3"/>
                  <w:noWrap w:val="0"/>
                  <w:vAlign w:val="center"/>
                </w:tcPr>
                <w:p w14:paraId="3BC859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治理措施</w:t>
                  </w:r>
                </w:p>
              </w:tc>
              <w:tc>
                <w:tcPr>
                  <w:tcW w:w="2485" w:type="dxa"/>
                  <w:gridSpan w:val="3"/>
                  <w:noWrap w:val="0"/>
                  <w:vAlign w:val="center"/>
                </w:tcPr>
                <w:p w14:paraId="160C50D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排放情况</w:t>
                  </w:r>
                </w:p>
              </w:tc>
              <w:tc>
                <w:tcPr>
                  <w:tcW w:w="1469" w:type="dxa"/>
                  <w:gridSpan w:val="2"/>
                  <w:noWrap w:val="0"/>
                  <w:vAlign w:val="center"/>
                </w:tcPr>
                <w:p w14:paraId="3C12402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c>
                <w:tcPr>
                  <w:tcW w:w="1960" w:type="dxa"/>
                  <w:gridSpan w:val="4"/>
                  <w:noWrap w:val="0"/>
                  <w:vAlign w:val="center"/>
                </w:tcPr>
                <w:p w14:paraId="78D16D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排气筒参数</w:t>
                  </w:r>
                </w:p>
              </w:tc>
              <w:tc>
                <w:tcPr>
                  <w:tcW w:w="930" w:type="dxa"/>
                  <w:vMerge w:val="restart"/>
                  <w:noWrap w:val="0"/>
                  <w:vAlign w:val="center"/>
                </w:tcPr>
                <w:p w14:paraId="467A882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排气方式</w:t>
                  </w:r>
                </w:p>
              </w:tc>
            </w:tr>
            <w:tr w14:paraId="27EE8B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jc w:val="center"/>
              </w:trPr>
              <w:tc>
                <w:tcPr>
                  <w:tcW w:w="617" w:type="dxa"/>
                  <w:vMerge w:val="continue"/>
                  <w:noWrap w:val="0"/>
                  <w:vAlign w:val="center"/>
                </w:tcPr>
                <w:p w14:paraId="2D985D7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p>
              </w:tc>
              <w:tc>
                <w:tcPr>
                  <w:tcW w:w="680" w:type="dxa"/>
                  <w:vMerge w:val="continue"/>
                  <w:noWrap w:val="0"/>
                  <w:vAlign w:val="center"/>
                </w:tcPr>
                <w:p w14:paraId="6C88848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p>
              </w:tc>
              <w:tc>
                <w:tcPr>
                  <w:tcW w:w="560" w:type="dxa"/>
                  <w:vMerge w:val="continue"/>
                  <w:noWrap w:val="0"/>
                  <w:vAlign w:val="center"/>
                </w:tcPr>
                <w:p w14:paraId="51AF525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p>
              </w:tc>
              <w:tc>
                <w:tcPr>
                  <w:tcW w:w="722" w:type="dxa"/>
                  <w:noWrap w:val="0"/>
                  <w:vAlign w:val="center"/>
                </w:tcPr>
                <w:p w14:paraId="1082A15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污染物名称</w:t>
                  </w:r>
                </w:p>
              </w:tc>
              <w:tc>
                <w:tcPr>
                  <w:tcW w:w="831" w:type="dxa"/>
                  <w:noWrap w:val="0"/>
                  <w:vAlign w:val="center"/>
                </w:tcPr>
                <w:p w14:paraId="2E78316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74F39E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c>
                <w:tcPr>
                  <w:tcW w:w="827" w:type="dxa"/>
                  <w:noWrap w:val="0"/>
                  <w:vAlign w:val="center"/>
                </w:tcPr>
                <w:p w14:paraId="5CA5DE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速率</w:t>
                  </w:r>
                </w:p>
                <w:p w14:paraId="1D45B7A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kg/h</w:t>
                  </w:r>
                </w:p>
              </w:tc>
              <w:tc>
                <w:tcPr>
                  <w:tcW w:w="827" w:type="dxa"/>
                  <w:noWrap w:val="0"/>
                  <w:vAlign w:val="center"/>
                </w:tcPr>
                <w:p w14:paraId="5493BCF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产生量t/a</w:t>
                  </w:r>
                </w:p>
              </w:tc>
              <w:tc>
                <w:tcPr>
                  <w:tcW w:w="445" w:type="dxa"/>
                  <w:noWrap w:val="0"/>
                  <w:vAlign w:val="center"/>
                </w:tcPr>
                <w:p w14:paraId="767E100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治理工艺</w:t>
                  </w:r>
                </w:p>
              </w:tc>
              <w:tc>
                <w:tcPr>
                  <w:tcW w:w="663" w:type="dxa"/>
                  <w:noWrap w:val="0"/>
                  <w:vAlign w:val="center"/>
                </w:tcPr>
                <w:p w14:paraId="3C1104C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处理效率%</w:t>
                  </w:r>
                </w:p>
              </w:tc>
              <w:tc>
                <w:tcPr>
                  <w:tcW w:w="445" w:type="dxa"/>
                  <w:noWrap w:val="0"/>
                  <w:vAlign w:val="center"/>
                </w:tcPr>
                <w:p w14:paraId="3B79D32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是否为可行技术</w:t>
                  </w:r>
                </w:p>
              </w:tc>
              <w:tc>
                <w:tcPr>
                  <w:tcW w:w="831" w:type="dxa"/>
                  <w:noWrap w:val="0"/>
                  <w:vAlign w:val="center"/>
                </w:tcPr>
                <w:p w14:paraId="7078823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06799C4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c>
                <w:tcPr>
                  <w:tcW w:w="827" w:type="dxa"/>
                  <w:noWrap w:val="0"/>
                  <w:vAlign w:val="center"/>
                </w:tcPr>
                <w:p w14:paraId="54D74D2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速率</w:t>
                  </w:r>
                </w:p>
                <w:p w14:paraId="72D4612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kg/h</w:t>
                  </w:r>
                </w:p>
              </w:tc>
              <w:tc>
                <w:tcPr>
                  <w:tcW w:w="827" w:type="dxa"/>
                  <w:noWrap w:val="0"/>
                  <w:vAlign w:val="center"/>
                </w:tcPr>
                <w:p w14:paraId="286D1BE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排放量t/a</w:t>
                  </w:r>
                </w:p>
              </w:tc>
              <w:tc>
                <w:tcPr>
                  <w:tcW w:w="831" w:type="dxa"/>
                  <w:noWrap w:val="0"/>
                  <w:vAlign w:val="center"/>
                </w:tcPr>
                <w:p w14:paraId="15D0712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浓度</w:t>
                  </w:r>
                </w:p>
                <w:p w14:paraId="30ED764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c>
                <w:tcPr>
                  <w:tcW w:w="638" w:type="dxa"/>
                  <w:noWrap w:val="0"/>
                  <w:vAlign w:val="center"/>
                </w:tcPr>
                <w:p w14:paraId="7C34469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速率</w:t>
                  </w:r>
                </w:p>
                <w:p w14:paraId="5AAAA3F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kg/h</w:t>
                  </w:r>
                </w:p>
              </w:tc>
              <w:tc>
                <w:tcPr>
                  <w:tcW w:w="445" w:type="dxa"/>
                  <w:noWrap w:val="0"/>
                  <w:vAlign w:val="center"/>
                </w:tcPr>
                <w:p w14:paraId="574BCE7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高度m</w:t>
                  </w:r>
                </w:p>
              </w:tc>
              <w:tc>
                <w:tcPr>
                  <w:tcW w:w="608" w:type="dxa"/>
                  <w:noWrap w:val="0"/>
                  <w:vAlign w:val="center"/>
                </w:tcPr>
                <w:p w14:paraId="54E1B4E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直径m</w:t>
                  </w:r>
                </w:p>
              </w:tc>
              <w:tc>
                <w:tcPr>
                  <w:tcW w:w="462" w:type="dxa"/>
                  <w:noWrap w:val="0"/>
                  <w:vAlign w:val="center"/>
                </w:tcPr>
                <w:p w14:paraId="2FCC780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温度</w:t>
                  </w:r>
                </w:p>
                <w:p w14:paraId="0A0143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w:t>
                  </w:r>
                </w:p>
              </w:tc>
              <w:tc>
                <w:tcPr>
                  <w:tcW w:w="445" w:type="dxa"/>
                  <w:noWrap w:val="0"/>
                  <w:vAlign w:val="center"/>
                </w:tcPr>
                <w:p w14:paraId="32C2283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排放口类型</w:t>
                  </w:r>
                </w:p>
              </w:tc>
              <w:tc>
                <w:tcPr>
                  <w:tcW w:w="930" w:type="dxa"/>
                  <w:vMerge w:val="continue"/>
                  <w:noWrap w:val="0"/>
                  <w:vAlign w:val="center"/>
                </w:tcPr>
                <w:p w14:paraId="0FAE12D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p>
              </w:tc>
            </w:tr>
            <w:tr w14:paraId="1A318B8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04" w:hRule="atLeast"/>
                <w:jc w:val="center"/>
              </w:trPr>
              <w:tc>
                <w:tcPr>
                  <w:tcW w:w="617" w:type="dxa"/>
                  <w:vMerge w:val="restart"/>
                  <w:noWrap w:val="0"/>
                  <w:vAlign w:val="center"/>
                </w:tcPr>
                <w:p w14:paraId="6EC9B0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DA001</w:t>
                  </w:r>
                </w:p>
              </w:tc>
              <w:tc>
                <w:tcPr>
                  <w:tcW w:w="680" w:type="dxa"/>
                  <w:vMerge w:val="restart"/>
                  <w:noWrap w:val="0"/>
                  <w:vAlign w:val="center"/>
                </w:tcPr>
                <w:p w14:paraId="4AF31D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eastAsia" w:cs="Times New Roman"/>
                      <w:i w:val="0"/>
                      <w:iCs w:val="0"/>
                      <w:color w:val="auto"/>
                      <w:kern w:val="0"/>
                      <w:sz w:val="21"/>
                      <w:szCs w:val="21"/>
                      <w:u w:val="none"/>
                      <w:lang w:val="en-US" w:eastAsia="zh-CN" w:bidi="ar"/>
                    </w:rPr>
                    <w:t>7</w:t>
                  </w:r>
                  <w:r>
                    <w:rPr>
                      <w:rFonts w:hint="default" w:ascii="Times New Roman" w:hAnsi="Times New Roman" w:eastAsia="宋体" w:cs="Times New Roman"/>
                      <w:i w:val="0"/>
                      <w:iCs w:val="0"/>
                      <w:color w:val="auto"/>
                      <w:kern w:val="0"/>
                      <w:sz w:val="21"/>
                      <w:szCs w:val="21"/>
                      <w:u w:val="none"/>
                      <w:lang w:val="en-US" w:eastAsia="zh-CN" w:bidi="ar"/>
                    </w:rPr>
                    <w:t>000</w:t>
                  </w:r>
                </w:p>
              </w:tc>
              <w:tc>
                <w:tcPr>
                  <w:tcW w:w="560" w:type="dxa"/>
                  <w:noWrap w:val="0"/>
                  <w:vAlign w:val="center"/>
                </w:tcPr>
                <w:p w14:paraId="6A2A5A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投料粉尘G1</w:t>
                  </w:r>
                </w:p>
              </w:tc>
              <w:tc>
                <w:tcPr>
                  <w:tcW w:w="722" w:type="dxa"/>
                  <w:noWrap w:val="0"/>
                  <w:vAlign w:val="center"/>
                </w:tcPr>
                <w:p w14:paraId="09B6E9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831" w:type="dxa"/>
                  <w:noWrap w:val="0"/>
                  <w:vAlign w:val="center"/>
                </w:tcPr>
                <w:p w14:paraId="2E724E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51.19</w:t>
                  </w:r>
                </w:p>
              </w:tc>
              <w:tc>
                <w:tcPr>
                  <w:tcW w:w="827" w:type="dxa"/>
                  <w:noWrap w:val="0"/>
                  <w:vAlign w:val="center"/>
                </w:tcPr>
                <w:p w14:paraId="643C3D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6</w:t>
                  </w:r>
                </w:p>
              </w:tc>
              <w:tc>
                <w:tcPr>
                  <w:tcW w:w="827" w:type="dxa"/>
                  <w:noWrap w:val="0"/>
                  <w:vAlign w:val="center"/>
                </w:tcPr>
                <w:p w14:paraId="0AD876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0.86</w:t>
                  </w:r>
                </w:p>
              </w:tc>
              <w:tc>
                <w:tcPr>
                  <w:tcW w:w="445" w:type="dxa"/>
                  <w:vMerge w:val="restart"/>
                  <w:noWrap w:val="0"/>
                  <w:vAlign w:val="center"/>
                </w:tcPr>
                <w:p w14:paraId="0B939C4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布袋除尘器+二级活性炭吸附装置</w:t>
                  </w:r>
                </w:p>
              </w:tc>
              <w:tc>
                <w:tcPr>
                  <w:tcW w:w="663" w:type="dxa"/>
                  <w:noWrap w:val="0"/>
                  <w:vAlign w:val="center"/>
                </w:tcPr>
                <w:p w14:paraId="37547F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95</w:t>
                  </w:r>
                </w:p>
              </w:tc>
              <w:tc>
                <w:tcPr>
                  <w:tcW w:w="445" w:type="dxa"/>
                  <w:noWrap w:val="0"/>
                  <w:vAlign w:val="center"/>
                </w:tcPr>
                <w:p w14:paraId="2BABD5A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c>
                <w:tcPr>
                  <w:tcW w:w="831" w:type="dxa"/>
                  <w:noWrap w:val="0"/>
                  <w:vAlign w:val="center"/>
                </w:tcPr>
                <w:p w14:paraId="02131A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56</w:t>
                  </w:r>
                </w:p>
              </w:tc>
              <w:tc>
                <w:tcPr>
                  <w:tcW w:w="827" w:type="dxa"/>
                  <w:noWrap w:val="0"/>
                  <w:vAlign w:val="center"/>
                </w:tcPr>
                <w:p w14:paraId="5FA677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27" w:type="dxa"/>
                  <w:noWrap w:val="0"/>
                  <w:vAlign w:val="center"/>
                </w:tcPr>
                <w:p w14:paraId="77C6FB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4</w:t>
                  </w:r>
                </w:p>
              </w:tc>
              <w:tc>
                <w:tcPr>
                  <w:tcW w:w="831" w:type="dxa"/>
                  <w:noWrap w:val="0"/>
                  <w:vAlign w:val="center"/>
                </w:tcPr>
                <w:p w14:paraId="4141904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638" w:type="dxa"/>
                  <w:noWrap w:val="0"/>
                  <w:vAlign w:val="center"/>
                </w:tcPr>
                <w:p w14:paraId="3280D4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0.51</w:t>
                  </w:r>
                </w:p>
              </w:tc>
              <w:tc>
                <w:tcPr>
                  <w:tcW w:w="445" w:type="dxa"/>
                  <w:vMerge w:val="restart"/>
                  <w:noWrap w:val="0"/>
                  <w:vAlign w:val="center"/>
                </w:tcPr>
                <w:p w14:paraId="1AA831C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608" w:type="dxa"/>
                  <w:vMerge w:val="restart"/>
                  <w:noWrap w:val="0"/>
                  <w:vAlign w:val="center"/>
                </w:tcPr>
                <w:p w14:paraId="3A1213C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0.4</w:t>
                  </w:r>
                  <w:r>
                    <w:rPr>
                      <w:rFonts w:hint="eastAsia" w:cs="Times New Roman"/>
                      <w:color w:val="auto"/>
                      <w:sz w:val="21"/>
                      <w:szCs w:val="21"/>
                      <w:lang w:val="en-US" w:eastAsia="zh-CN"/>
                    </w:rPr>
                    <w:t>0</w:t>
                  </w:r>
                </w:p>
              </w:tc>
              <w:tc>
                <w:tcPr>
                  <w:tcW w:w="462" w:type="dxa"/>
                  <w:vMerge w:val="restart"/>
                  <w:noWrap w:val="0"/>
                  <w:vAlign w:val="center"/>
                </w:tcPr>
                <w:p w14:paraId="206427A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445" w:type="dxa"/>
                  <w:vMerge w:val="restart"/>
                  <w:noWrap w:val="0"/>
                  <w:vAlign w:val="center"/>
                </w:tcPr>
                <w:p w14:paraId="567308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一般排放口</w:t>
                  </w:r>
                </w:p>
              </w:tc>
              <w:tc>
                <w:tcPr>
                  <w:tcW w:w="930" w:type="dxa"/>
                  <w:vMerge w:val="restart"/>
                  <w:noWrap w:val="0"/>
                  <w:vAlign w:val="center"/>
                </w:tcPr>
                <w:p w14:paraId="7DCEB3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2400h/a</w:t>
                  </w:r>
                </w:p>
              </w:tc>
            </w:tr>
            <w:tr w14:paraId="5ACC42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04" w:hRule="atLeast"/>
                <w:jc w:val="center"/>
              </w:trPr>
              <w:tc>
                <w:tcPr>
                  <w:tcW w:w="617" w:type="dxa"/>
                  <w:vMerge w:val="continue"/>
                  <w:noWrap w:val="0"/>
                  <w:vAlign w:val="center"/>
                </w:tcPr>
                <w:p w14:paraId="77B61D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rPr>
                  </w:pPr>
                </w:p>
              </w:tc>
              <w:tc>
                <w:tcPr>
                  <w:tcW w:w="680" w:type="dxa"/>
                  <w:vMerge w:val="continue"/>
                  <w:noWrap w:val="0"/>
                  <w:vAlign w:val="center"/>
                </w:tcPr>
                <w:p w14:paraId="206ECF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rPr>
                  </w:pPr>
                </w:p>
              </w:tc>
              <w:tc>
                <w:tcPr>
                  <w:tcW w:w="560" w:type="dxa"/>
                  <w:noWrap w:val="0"/>
                  <w:vAlign w:val="center"/>
                </w:tcPr>
                <w:p w14:paraId="40A403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挤出废气G2</w:t>
                  </w:r>
                </w:p>
              </w:tc>
              <w:tc>
                <w:tcPr>
                  <w:tcW w:w="722" w:type="dxa"/>
                  <w:noWrap w:val="0"/>
                  <w:vAlign w:val="center"/>
                </w:tcPr>
                <w:p w14:paraId="1B086B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bidi="ar-SA"/>
                    </w:rPr>
                    <w:t>非甲烷总烃</w:t>
                  </w:r>
                </w:p>
              </w:tc>
              <w:tc>
                <w:tcPr>
                  <w:tcW w:w="831" w:type="dxa"/>
                  <w:noWrap w:val="0"/>
                  <w:vAlign w:val="center"/>
                </w:tcPr>
                <w:p w14:paraId="63B1E3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14.88</w:t>
                  </w:r>
                </w:p>
              </w:tc>
              <w:tc>
                <w:tcPr>
                  <w:tcW w:w="827" w:type="dxa"/>
                  <w:noWrap w:val="0"/>
                  <w:vAlign w:val="center"/>
                </w:tcPr>
                <w:p w14:paraId="0B8D54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10</w:t>
                  </w:r>
                </w:p>
              </w:tc>
              <w:tc>
                <w:tcPr>
                  <w:tcW w:w="827" w:type="dxa"/>
                  <w:noWrap w:val="0"/>
                  <w:vAlign w:val="center"/>
                </w:tcPr>
                <w:p w14:paraId="0EB1E6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w:t>
                  </w:r>
                  <w:r>
                    <w:rPr>
                      <w:rFonts w:hint="eastAsia" w:cs="Times New Roman"/>
                      <w:i w:val="0"/>
                      <w:iCs w:val="0"/>
                      <w:color w:val="auto"/>
                      <w:kern w:val="0"/>
                      <w:sz w:val="21"/>
                      <w:szCs w:val="21"/>
                      <w:u w:val="none"/>
                      <w:lang w:val="en-US" w:eastAsia="zh-CN" w:bidi="ar"/>
                    </w:rPr>
                    <w:t>5</w:t>
                  </w:r>
                </w:p>
              </w:tc>
              <w:tc>
                <w:tcPr>
                  <w:tcW w:w="445" w:type="dxa"/>
                  <w:vMerge w:val="continue"/>
                  <w:noWrap w:val="0"/>
                  <w:vAlign w:val="center"/>
                </w:tcPr>
                <w:p w14:paraId="2BCE50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63" w:type="dxa"/>
                  <w:noWrap w:val="0"/>
                  <w:vAlign w:val="center"/>
                </w:tcPr>
                <w:p w14:paraId="1F173C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445" w:type="dxa"/>
                  <w:noWrap w:val="0"/>
                  <w:vAlign w:val="center"/>
                </w:tcPr>
                <w:p w14:paraId="7C5BAD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是</w:t>
                  </w:r>
                </w:p>
              </w:tc>
              <w:tc>
                <w:tcPr>
                  <w:tcW w:w="831" w:type="dxa"/>
                  <w:noWrap w:val="0"/>
                  <w:vAlign w:val="center"/>
                </w:tcPr>
                <w:p w14:paraId="51DD76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1.49</w:t>
                  </w:r>
                </w:p>
              </w:tc>
              <w:tc>
                <w:tcPr>
                  <w:tcW w:w="827" w:type="dxa"/>
                  <w:noWrap w:val="0"/>
                  <w:vAlign w:val="center"/>
                </w:tcPr>
                <w:p w14:paraId="1CAF8F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827" w:type="dxa"/>
                  <w:noWrap w:val="0"/>
                  <w:vAlign w:val="center"/>
                </w:tcPr>
                <w:p w14:paraId="716926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w:t>
                  </w:r>
                </w:p>
              </w:tc>
              <w:tc>
                <w:tcPr>
                  <w:tcW w:w="831" w:type="dxa"/>
                  <w:noWrap w:val="0"/>
                  <w:vAlign w:val="center"/>
                </w:tcPr>
                <w:p w14:paraId="2D1605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638" w:type="dxa"/>
                  <w:noWrap w:val="0"/>
                  <w:vAlign w:val="center"/>
                </w:tcPr>
                <w:p w14:paraId="5531EE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w:t>
                  </w:r>
                </w:p>
              </w:tc>
              <w:tc>
                <w:tcPr>
                  <w:tcW w:w="445" w:type="dxa"/>
                  <w:vMerge w:val="continue"/>
                  <w:noWrap w:val="0"/>
                  <w:vAlign w:val="center"/>
                </w:tcPr>
                <w:p w14:paraId="0D70A6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08" w:type="dxa"/>
                  <w:vMerge w:val="continue"/>
                  <w:noWrap w:val="0"/>
                  <w:vAlign w:val="center"/>
                </w:tcPr>
                <w:p w14:paraId="18BCD6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62" w:type="dxa"/>
                  <w:vMerge w:val="continue"/>
                  <w:noWrap w:val="0"/>
                  <w:vAlign w:val="center"/>
                </w:tcPr>
                <w:p w14:paraId="7760CB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445" w:type="dxa"/>
                  <w:vMerge w:val="continue"/>
                  <w:noWrap w:val="0"/>
                  <w:vAlign w:val="center"/>
                </w:tcPr>
                <w:p w14:paraId="74975A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30" w:type="dxa"/>
                  <w:vMerge w:val="continue"/>
                  <w:noWrap w:val="0"/>
                  <w:vAlign w:val="center"/>
                </w:tcPr>
                <w:p w14:paraId="3C358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bookmarkEnd w:id="6"/>
          </w:tbl>
          <w:p w14:paraId="2E59284E">
            <w:pPr>
              <w:spacing w:line="240" w:lineRule="auto"/>
              <w:ind w:firstLine="0" w:firstLineChars="0"/>
              <w:jc w:val="center"/>
              <w:rPr>
                <w:rFonts w:hint="default" w:ascii="Times New Roman" w:hAnsi="Times New Roman" w:eastAsia="宋体" w:cs="Times New Roman"/>
                <w:b/>
                <w:bCs/>
                <w:color w:val="auto"/>
                <w:sz w:val="21"/>
                <w:szCs w:val="21"/>
              </w:rPr>
            </w:pPr>
          </w:p>
          <w:p w14:paraId="596A7840">
            <w:pPr>
              <w:spacing w:line="240" w:lineRule="auto"/>
              <w:ind w:firstLine="0" w:firstLineChars="0"/>
              <w:jc w:val="center"/>
              <w:rPr>
                <w:rFonts w:hint="default" w:ascii="Times New Roman" w:hAnsi="Times New Roman" w:eastAsia="宋体" w:cs="Times New Roman"/>
                <w:b/>
                <w:bCs/>
                <w:color w:val="auto"/>
                <w:sz w:val="21"/>
                <w:szCs w:val="21"/>
              </w:rPr>
            </w:pPr>
          </w:p>
          <w:p w14:paraId="1942300D">
            <w:pPr>
              <w:spacing w:line="240" w:lineRule="auto"/>
              <w:ind w:firstLine="0" w:firstLineChars="0"/>
              <w:jc w:val="center"/>
              <w:rPr>
                <w:rFonts w:hint="default" w:ascii="Times New Roman" w:hAnsi="Times New Roman" w:eastAsia="宋体" w:cs="Times New Roman"/>
                <w:b/>
                <w:bCs/>
                <w:color w:val="auto"/>
                <w:sz w:val="21"/>
                <w:szCs w:val="21"/>
              </w:rPr>
            </w:pPr>
          </w:p>
          <w:p w14:paraId="3D09D702">
            <w:pPr>
              <w:spacing w:line="240" w:lineRule="auto"/>
              <w:ind w:firstLine="0" w:firstLineChars="0"/>
              <w:jc w:val="center"/>
              <w:rPr>
                <w:rFonts w:hint="default" w:ascii="Times New Roman" w:hAnsi="Times New Roman" w:eastAsia="宋体" w:cs="Times New Roman"/>
                <w:b/>
                <w:bCs/>
                <w:color w:val="auto"/>
                <w:sz w:val="21"/>
                <w:szCs w:val="21"/>
              </w:rPr>
            </w:pPr>
          </w:p>
          <w:p w14:paraId="6438E679">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 xml:space="preserve">  项目废气无组织排放情况一览表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17"/>
              <w:gridCol w:w="1667"/>
              <w:gridCol w:w="2041"/>
              <w:gridCol w:w="1729"/>
              <w:gridCol w:w="1457"/>
              <w:gridCol w:w="1632"/>
              <w:gridCol w:w="1352"/>
              <w:gridCol w:w="2266"/>
            </w:tblGrid>
            <w:tr w14:paraId="65DBF1C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89" w:type="pct"/>
                  <w:vMerge w:val="restart"/>
                  <w:noWrap w:val="0"/>
                  <w:vAlign w:val="center"/>
                </w:tcPr>
                <w:p w14:paraId="6922F1A0">
                  <w:pPr>
                    <w:spacing w:line="240" w:lineRule="auto"/>
                    <w:ind w:firstLine="0" w:firstLineChars="0"/>
                    <w:jc w:val="center"/>
                    <w:rPr>
                      <w:rFonts w:hint="default" w:ascii="Times New Roman" w:hAnsi="Times New Roman" w:eastAsia="宋体" w:cs="Times New Roman"/>
                      <w:b/>
                      <w:bCs/>
                      <w:color w:val="auto"/>
                      <w:sz w:val="21"/>
                      <w:szCs w:val="21"/>
                    </w:rPr>
                  </w:pPr>
                  <w:bookmarkStart w:id="7" w:name="_Hlk130048649"/>
                  <w:r>
                    <w:rPr>
                      <w:rFonts w:hint="default" w:ascii="Times New Roman" w:hAnsi="Times New Roman" w:eastAsia="宋体" w:cs="Times New Roman"/>
                      <w:b/>
                      <w:bCs/>
                      <w:color w:val="auto"/>
                      <w:sz w:val="21"/>
                      <w:szCs w:val="21"/>
                    </w:rPr>
                    <w:t>污染源</w:t>
                  </w:r>
                </w:p>
              </w:tc>
              <w:tc>
                <w:tcPr>
                  <w:tcW w:w="619" w:type="pct"/>
                  <w:vMerge w:val="restart"/>
                  <w:noWrap w:val="0"/>
                  <w:vAlign w:val="center"/>
                </w:tcPr>
                <w:p w14:paraId="3FE9F456">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污染物名称</w:t>
                  </w:r>
                </w:p>
              </w:tc>
              <w:tc>
                <w:tcPr>
                  <w:tcW w:w="1400" w:type="pct"/>
                  <w:gridSpan w:val="2"/>
                  <w:noWrap w:val="0"/>
                  <w:vAlign w:val="center"/>
                </w:tcPr>
                <w:p w14:paraId="00A64A4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排放情况</w:t>
                  </w:r>
                </w:p>
              </w:tc>
              <w:tc>
                <w:tcPr>
                  <w:tcW w:w="2491" w:type="pct"/>
                  <w:gridSpan w:val="4"/>
                  <w:noWrap w:val="0"/>
                  <w:vAlign w:val="center"/>
                </w:tcPr>
                <w:p w14:paraId="17AB3E6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排放车间基本情况</w:t>
                  </w:r>
                </w:p>
              </w:tc>
            </w:tr>
            <w:tr w14:paraId="14F045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89" w:type="pct"/>
                  <w:vMerge w:val="continue"/>
                  <w:noWrap w:val="0"/>
                  <w:vAlign w:val="center"/>
                </w:tcPr>
                <w:p w14:paraId="12760DC7">
                  <w:pPr>
                    <w:spacing w:line="240" w:lineRule="auto"/>
                    <w:ind w:firstLine="0" w:firstLineChars="0"/>
                    <w:jc w:val="center"/>
                    <w:rPr>
                      <w:rFonts w:hint="default" w:ascii="Times New Roman" w:hAnsi="Times New Roman" w:eastAsia="宋体" w:cs="Times New Roman"/>
                      <w:b/>
                      <w:bCs/>
                      <w:color w:val="auto"/>
                      <w:sz w:val="21"/>
                      <w:szCs w:val="21"/>
                    </w:rPr>
                  </w:pPr>
                </w:p>
              </w:tc>
              <w:tc>
                <w:tcPr>
                  <w:tcW w:w="619" w:type="pct"/>
                  <w:vMerge w:val="continue"/>
                  <w:noWrap w:val="0"/>
                  <w:vAlign w:val="center"/>
                </w:tcPr>
                <w:p w14:paraId="7CE7A51F">
                  <w:pPr>
                    <w:spacing w:line="240" w:lineRule="auto"/>
                    <w:ind w:firstLine="0" w:firstLineChars="0"/>
                    <w:jc w:val="center"/>
                    <w:rPr>
                      <w:rFonts w:hint="default" w:ascii="Times New Roman" w:hAnsi="Times New Roman" w:eastAsia="宋体" w:cs="Times New Roman"/>
                      <w:b/>
                      <w:bCs/>
                      <w:color w:val="auto"/>
                      <w:sz w:val="21"/>
                      <w:szCs w:val="21"/>
                    </w:rPr>
                  </w:pPr>
                </w:p>
              </w:tc>
              <w:tc>
                <w:tcPr>
                  <w:tcW w:w="758" w:type="pct"/>
                  <w:noWrap w:val="0"/>
                  <w:vAlign w:val="center"/>
                </w:tcPr>
                <w:p w14:paraId="52B77FB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速率kg/h</w:t>
                  </w:r>
                </w:p>
              </w:tc>
              <w:tc>
                <w:tcPr>
                  <w:tcW w:w="642" w:type="pct"/>
                  <w:noWrap w:val="0"/>
                  <w:vAlign w:val="center"/>
                </w:tcPr>
                <w:p w14:paraId="225C632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排放量t/a</w:t>
                  </w:r>
                </w:p>
              </w:tc>
              <w:tc>
                <w:tcPr>
                  <w:tcW w:w="541" w:type="pct"/>
                  <w:noWrap w:val="0"/>
                  <w:vAlign w:val="center"/>
                </w:tcPr>
                <w:p w14:paraId="55C82DF7">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长度m</w:t>
                  </w:r>
                </w:p>
              </w:tc>
              <w:tc>
                <w:tcPr>
                  <w:tcW w:w="606" w:type="pct"/>
                  <w:noWrap w:val="0"/>
                  <w:vAlign w:val="center"/>
                </w:tcPr>
                <w:p w14:paraId="6306090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宽度m</w:t>
                  </w:r>
                </w:p>
              </w:tc>
              <w:tc>
                <w:tcPr>
                  <w:tcW w:w="502" w:type="pct"/>
                  <w:noWrap w:val="0"/>
                  <w:vAlign w:val="center"/>
                </w:tcPr>
                <w:p w14:paraId="2D38A0A6">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有效高度m</w:t>
                  </w:r>
                </w:p>
              </w:tc>
              <w:tc>
                <w:tcPr>
                  <w:tcW w:w="841" w:type="pct"/>
                  <w:noWrap w:val="0"/>
                  <w:vAlign w:val="center"/>
                </w:tcPr>
                <w:p w14:paraId="48A91F7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地理坐标</w:t>
                  </w:r>
                </w:p>
              </w:tc>
            </w:tr>
            <w:tr w14:paraId="0CA2ED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20" w:hRule="atLeast"/>
                <w:jc w:val="center"/>
              </w:trPr>
              <w:tc>
                <w:tcPr>
                  <w:tcW w:w="489" w:type="pct"/>
                  <w:vMerge w:val="restart"/>
                  <w:noWrap w:val="0"/>
                  <w:vAlign w:val="center"/>
                </w:tcPr>
                <w:p w14:paraId="11EE61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619" w:type="pct"/>
                  <w:noWrap w:val="0"/>
                  <w:vAlign w:val="center"/>
                </w:tcPr>
                <w:p w14:paraId="4E1D47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非甲烷总烃</w:t>
                  </w:r>
                </w:p>
              </w:tc>
              <w:tc>
                <w:tcPr>
                  <w:tcW w:w="758" w:type="pct"/>
                  <w:noWrap w:val="0"/>
                  <w:vAlign w:val="center"/>
                </w:tcPr>
                <w:p w14:paraId="349CE6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642" w:type="pct"/>
                  <w:noWrap w:val="0"/>
                  <w:vAlign w:val="center"/>
                </w:tcPr>
                <w:p w14:paraId="7DEF26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541" w:type="pct"/>
                  <w:vMerge w:val="restart"/>
                  <w:noWrap w:val="0"/>
                  <w:vAlign w:val="center"/>
                </w:tcPr>
                <w:p w14:paraId="33B1566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44</w:t>
                  </w:r>
                </w:p>
              </w:tc>
              <w:tc>
                <w:tcPr>
                  <w:tcW w:w="606" w:type="pct"/>
                  <w:vMerge w:val="restart"/>
                  <w:noWrap w:val="0"/>
                  <w:vAlign w:val="center"/>
                </w:tcPr>
                <w:p w14:paraId="74392F4E">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w:t>
                  </w:r>
                </w:p>
              </w:tc>
              <w:tc>
                <w:tcPr>
                  <w:tcW w:w="502" w:type="pct"/>
                  <w:vMerge w:val="restart"/>
                  <w:noWrap w:val="0"/>
                  <w:vAlign w:val="center"/>
                </w:tcPr>
                <w:p w14:paraId="20BD83E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841" w:type="pct"/>
                  <w:vMerge w:val="restart"/>
                  <w:noWrap w:val="0"/>
                  <w:vAlign w:val="center"/>
                </w:tcPr>
                <w:p w14:paraId="339BC9B7">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119.662557</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31.625445</w:t>
                  </w:r>
                </w:p>
              </w:tc>
            </w:tr>
            <w:tr w14:paraId="7541A4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20" w:hRule="atLeast"/>
                <w:jc w:val="center"/>
              </w:trPr>
              <w:tc>
                <w:tcPr>
                  <w:tcW w:w="489" w:type="pct"/>
                  <w:vMerge w:val="continue"/>
                  <w:noWrap w:val="0"/>
                  <w:vAlign w:val="center"/>
                </w:tcPr>
                <w:p w14:paraId="3A7B67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619" w:type="pct"/>
                  <w:noWrap w:val="0"/>
                  <w:vAlign w:val="center"/>
                </w:tcPr>
                <w:p w14:paraId="214308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颗粒物</w:t>
                  </w:r>
                </w:p>
              </w:tc>
              <w:tc>
                <w:tcPr>
                  <w:tcW w:w="758" w:type="pct"/>
                  <w:noWrap w:val="0"/>
                  <w:vAlign w:val="center"/>
                </w:tcPr>
                <w:p w14:paraId="1BAE4F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w:t>
                  </w:r>
                </w:p>
              </w:tc>
              <w:tc>
                <w:tcPr>
                  <w:tcW w:w="642" w:type="pct"/>
                  <w:noWrap w:val="0"/>
                  <w:vAlign w:val="center"/>
                </w:tcPr>
                <w:p w14:paraId="2A524F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06</w:t>
                  </w:r>
                </w:p>
              </w:tc>
              <w:tc>
                <w:tcPr>
                  <w:tcW w:w="541" w:type="pct"/>
                  <w:vMerge w:val="continue"/>
                  <w:noWrap w:val="0"/>
                  <w:vAlign w:val="center"/>
                </w:tcPr>
                <w:p w14:paraId="6350B122">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606" w:type="pct"/>
                  <w:vMerge w:val="continue"/>
                  <w:noWrap w:val="0"/>
                  <w:vAlign w:val="center"/>
                </w:tcPr>
                <w:p w14:paraId="2D3BC9E8">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502" w:type="pct"/>
                  <w:vMerge w:val="continue"/>
                  <w:noWrap w:val="0"/>
                  <w:vAlign w:val="center"/>
                </w:tcPr>
                <w:p w14:paraId="0C0E07C4">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841" w:type="pct"/>
                  <w:vMerge w:val="continue"/>
                  <w:noWrap w:val="0"/>
                  <w:vAlign w:val="center"/>
                </w:tcPr>
                <w:p w14:paraId="6B237617">
                  <w:pPr>
                    <w:spacing w:line="240" w:lineRule="auto"/>
                    <w:ind w:firstLine="0" w:firstLineChars="0"/>
                    <w:jc w:val="center"/>
                    <w:rPr>
                      <w:rFonts w:hint="default" w:ascii="Times New Roman" w:hAnsi="Times New Roman" w:eastAsia="宋体" w:cs="Times New Roman"/>
                      <w:color w:val="auto"/>
                      <w:sz w:val="21"/>
                      <w:szCs w:val="21"/>
                    </w:rPr>
                  </w:pPr>
                </w:p>
              </w:tc>
            </w:tr>
            <w:bookmarkEnd w:id="7"/>
          </w:tbl>
          <w:p w14:paraId="7EB4D818">
            <w:pPr>
              <w:rPr>
                <w:rFonts w:hint="default" w:ascii="Times New Roman" w:hAnsi="Times New Roman" w:eastAsia="宋体" w:cs="Times New Roman"/>
                <w:color w:val="auto"/>
                <w:vertAlign w:val="baseline"/>
              </w:rPr>
            </w:pPr>
            <w:r>
              <w:rPr>
                <w:rFonts w:hint="default" w:ascii="Times New Roman" w:hAnsi="Times New Roman" w:eastAsia="宋体" w:cs="Times New Roman"/>
                <w:color w:val="auto"/>
                <w:sz w:val="21"/>
                <w:szCs w:val="21"/>
              </w:rPr>
              <w:t>备注：无组织源强按照全厂工作时间计，</w:t>
            </w:r>
            <w:r>
              <w:rPr>
                <w:rFonts w:hint="default" w:ascii="Times New Roman" w:hAnsi="Times New Roman" w:eastAsia="宋体" w:cs="Times New Roman"/>
                <w:color w:val="auto"/>
                <w:sz w:val="21"/>
                <w:szCs w:val="21"/>
                <w:lang w:val="en-US" w:eastAsia="zh-CN"/>
              </w:rPr>
              <w:t>24</w:t>
            </w:r>
            <w:r>
              <w:rPr>
                <w:rFonts w:hint="default" w:ascii="Times New Roman" w:hAnsi="Times New Roman" w:eastAsia="宋体" w:cs="Times New Roman"/>
                <w:color w:val="auto"/>
                <w:sz w:val="21"/>
                <w:szCs w:val="21"/>
              </w:rPr>
              <w:t>00h/a。</w:t>
            </w:r>
          </w:p>
        </w:tc>
      </w:tr>
    </w:tbl>
    <w:p w14:paraId="248D9FF5">
      <w:pPr>
        <w:rPr>
          <w:rFonts w:hint="default" w:ascii="Times New Roman" w:hAnsi="Times New Roman" w:eastAsia="宋体" w:cs="Times New Roman"/>
          <w:color w:val="auto"/>
        </w:rPr>
        <w:sectPr>
          <w:pgSz w:w="16840" w:h="11907" w:orient="landscape"/>
          <w:pgMar w:top="1080" w:right="1440" w:bottom="1080" w:left="1440" w:header="964" w:footer="964" w:gutter="0"/>
          <w:pgBorders w:offsetFrom="page">
            <w:top w:val="none" w:sz="0" w:space="0"/>
            <w:left w:val="none" w:sz="0" w:space="0"/>
            <w:bottom w:val="none" w:sz="0" w:space="0"/>
            <w:right w:val="none" w:sz="0" w:space="0"/>
          </w:pgBorders>
          <w:cols w:space="720" w:num="1"/>
          <w:docGrid w:type="linesAndChars" w:linePitch="312" w:charSpace="0"/>
        </w:sectPr>
      </w:pPr>
    </w:p>
    <w:tbl>
      <w:tblPr>
        <w:tblStyle w:val="44"/>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2"/>
        <w:gridCol w:w="9442"/>
      </w:tblGrid>
      <w:tr w14:paraId="7D9C8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2" w:type="dxa"/>
            <w:noWrap w:val="0"/>
            <w:vAlign w:val="center"/>
          </w:tcPr>
          <w:p w14:paraId="60D69F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运营期环境影响和保护措施</w:t>
            </w:r>
          </w:p>
        </w:tc>
        <w:tc>
          <w:tcPr>
            <w:tcW w:w="9442" w:type="dxa"/>
            <w:noWrap w:val="0"/>
            <w:vAlign w:val="top"/>
          </w:tcPr>
          <w:p w14:paraId="60ACE64D">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2.2废气治理措施及可行性分析</w:t>
            </w:r>
          </w:p>
          <w:p w14:paraId="7E477AE9">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2.2.1有组织废气治理措施</w:t>
            </w:r>
          </w:p>
          <w:p w14:paraId="33B796D9">
            <w:pPr>
              <w:ind w:firstLine="420"/>
              <w:rPr>
                <w:rFonts w:hint="default" w:ascii="Times New Roman" w:hAnsi="Times New Roman" w:eastAsia="宋体" w:cs="Times New Roman"/>
                <w:color w:val="auto"/>
                <w:sz w:val="24"/>
                <w:szCs w:val="24"/>
                <w:lang w:val="en-US" w:eastAsia="zh-CN"/>
              </w:rPr>
            </w:pPr>
            <w:bookmarkStart w:id="8" w:name="_Hlk130057152"/>
            <w:r>
              <w:rPr>
                <w:rFonts w:hint="default" w:ascii="Times New Roman" w:hAnsi="Times New Roman" w:eastAsia="宋体" w:cs="Times New Roman"/>
                <w:color w:val="auto"/>
                <w:sz w:val="24"/>
                <w:szCs w:val="24"/>
                <w:lang w:val="en-US" w:eastAsia="zh-CN"/>
              </w:rPr>
              <w:t>本项目投料粉尘、挤出废气</w:t>
            </w:r>
            <w:r>
              <w:rPr>
                <w:rFonts w:hint="default" w:ascii="Times New Roman" w:hAnsi="Times New Roman" w:eastAsia="宋体" w:cs="Times New Roman"/>
                <w:color w:val="auto"/>
                <w:sz w:val="24"/>
                <w:szCs w:val="24"/>
              </w:rPr>
              <w:t>经</w:t>
            </w:r>
            <w:r>
              <w:rPr>
                <w:rFonts w:hint="default" w:ascii="Times New Roman" w:hAnsi="Times New Roman" w:eastAsia="宋体" w:cs="Times New Roman"/>
                <w:color w:val="auto"/>
                <w:sz w:val="24"/>
                <w:szCs w:val="24"/>
                <w:lang w:val="en-US" w:eastAsia="zh-CN"/>
              </w:rPr>
              <w:t>集气罩</w:t>
            </w:r>
            <w:r>
              <w:rPr>
                <w:rFonts w:hint="default" w:ascii="Times New Roman" w:hAnsi="Times New Roman" w:eastAsia="宋体" w:cs="Times New Roman"/>
                <w:color w:val="auto"/>
                <w:sz w:val="24"/>
                <w:szCs w:val="24"/>
              </w:rPr>
              <w:t>收集后由</w:t>
            </w:r>
            <w:r>
              <w:rPr>
                <w:rFonts w:hint="default" w:ascii="Times New Roman" w:hAnsi="Times New Roman" w:eastAsia="宋体" w:cs="Times New Roman"/>
                <w:color w:val="auto"/>
                <w:sz w:val="24"/>
                <w:szCs w:val="24"/>
                <w:lang w:val="en-US" w:eastAsia="zh-CN"/>
              </w:rPr>
              <w:t>一套布袋除尘器+二级活性炭吸附设施</w:t>
            </w:r>
            <w:r>
              <w:rPr>
                <w:rFonts w:hint="default" w:ascii="Times New Roman" w:hAnsi="Times New Roman" w:eastAsia="宋体" w:cs="Times New Roman"/>
                <w:color w:val="auto"/>
                <w:sz w:val="24"/>
                <w:szCs w:val="24"/>
              </w:rPr>
              <w:t>处理后通过</w:t>
            </w:r>
            <w:r>
              <w:rPr>
                <w:rFonts w:hint="default"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rPr>
              <w:t>m高排气筒</w:t>
            </w:r>
            <w:r>
              <w:rPr>
                <w:rFonts w:hint="default" w:ascii="Times New Roman" w:hAnsi="Times New Roman" w:eastAsia="宋体" w:cs="Times New Roman"/>
                <w:color w:val="auto"/>
                <w:sz w:val="24"/>
                <w:szCs w:val="24"/>
                <w:lang w:val="en-US" w:eastAsia="zh-CN"/>
              </w:rPr>
              <w:t>DA</w:t>
            </w:r>
            <w:r>
              <w:rPr>
                <w:rFonts w:hint="default" w:ascii="Times New Roman" w:hAnsi="Times New Roman" w:eastAsia="宋体" w:cs="Times New Roman"/>
                <w:color w:val="auto"/>
                <w:sz w:val="24"/>
                <w:szCs w:val="24"/>
              </w:rPr>
              <w:t>001排放</w:t>
            </w:r>
            <w:r>
              <w:rPr>
                <w:rFonts w:hint="default" w:ascii="Times New Roman" w:hAnsi="Times New Roman" w:eastAsia="宋体" w:cs="Times New Roman"/>
                <w:color w:val="auto"/>
                <w:sz w:val="24"/>
                <w:szCs w:val="24"/>
                <w:lang w:val="en-US" w:eastAsia="zh-CN"/>
              </w:rPr>
              <w:t>。</w:t>
            </w:r>
          </w:p>
          <w:bookmarkEnd w:id="8"/>
          <w:p w14:paraId="1A89E1B0">
            <w:pPr>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本项目有组织废气收集处理系统见下图：</w:t>
            </w:r>
          </w:p>
          <w:p w14:paraId="6BD28B70">
            <w:pPr>
              <w:spacing w:line="360" w:lineRule="auto"/>
              <w:ind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drawing>
                <wp:inline distT="0" distB="0" distL="114300" distR="114300">
                  <wp:extent cx="4098925" cy="960120"/>
                  <wp:effectExtent l="0" t="0" r="0" b="0"/>
                  <wp:docPr id="14" name="ECB019B1-382A-4266-B25C-5B523AA43C14-2" descr="C:/Users/29147/AppData/Local/Temp/wps.iEZxg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CB019B1-382A-4266-B25C-5B523AA43C14-2" descr="C:/Users/29147/AppData/Local/Temp/wps.iEZxgWwps"/>
                          <pic:cNvPicPr>
                            <a:picLocks noChangeAspect="1"/>
                          </pic:cNvPicPr>
                        </pic:nvPicPr>
                        <pic:blipFill>
                          <a:blip r:embed="rId20"/>
                          <a:stretch>
                            <a:fillRect/>
                          </a:stretch>
                        </pic:blipFill>
                        <pic:spPr>
                          <a:xfrm>
                            <a:off x="0" y="0"/>
                            <a:ext cx="4098925" cy="960120"/>
                          </a:xfrm>
                          <a:prstGeom prst="rect">
                            <a:avLst/>
                          </a:prstGeom>
                        </pic:spPr>
                      </pic:pic>
                    </a:graphicData>
                  </a:graphic>
                </wp:inline>
              </w:drawing>
            </w:r>
          </w:p>
          <w:p w14:paraId="46DEC8EC">
            <w:pPr>
              <w:spacing w:line="36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1"/>
                <w:szCs w:val="21"/>
              </w:rPr>
              <w:t>图4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有组织废气收集处理系统示意图</w:t>
            </w:r>
          </w:p>
          <w:p w14:paraId="76F8683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2.2.1.1废气收集系统评述</w:t>
            </w:r>
          </w:p>
          <w:p w14:paraId="5847B943">
            <w:pPr>
              <w:keepNext w:val="0"/>
              <w:keepLines w:val="0"/>
              <w:widowControl/>
              <w:numPr>
                <w:ilvl w:val="0"/>
                <w:numId w:val="0"/>
              </w:numPr>
              <w:suppressLineNumbers w:val="0"/>
              <w:adjustRightInd w:val="0"/>
              <w:spacing w:before="0" w:beforeAutospacing="0" w:after="0" w:afterAutospacing="0" w:line="480" w:lineRule="exact"/>
              <w:ind w:right="0" w:rightChars="0" w:firstLine="480" w:firstLineChars="200"/>
              <w:jc w:val="left"/>
              <w:rPr>
                <w:rFonts w:hint="default" w:ascii="Times New Roman" w:hAnsi="Times New Roman" w:eastAsia="宋体" w:cs="Times New Roman"/>
                <w:color w:val="auto"/>
                <w:sz w:val="24"/>
                <w:szCs w:val="24"/>
                <w:lang w:eastAsia="zh-CN" w:bidi="ar"/>
              </w:rPr>
            </w:pPr>
            <w:bookmarkStart w:id="9" w:name="_Hlk130057194"/>
            <w:r>
              <w:rPr>
                <w:rFonts w:hint="default" w:ascii="Times New Roman" w:hAnsi="Times New Roman" w:eastAsia="宋体" w:cs="Times New Roman"/>
                <w:color w:val="auto"/>
                <w:sz w:val="24"/>
                <w:szCs w:val="24"/>
                <w:lang w:bidi="ar"/>
              </w:rPr>
              <w:t>本项目依据企业设备分布情况、设备规格尺寸</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val="en-US" w:eastAsia="zh-CN" w:bidi="ar"/>
              </w:rPr>
              <w:t xml:space="preserve"> 企业提供的废气处理设施设计方案</w:t>
            </w:r>
            <w:r>
              <w:rPr>
                <w:rFonts w:hint="default" w:ascii="Times New Roman" w:hAnsi="Times New Roman" w:eastAsia="宋体" w:cs="Times New Roman"/>
                <w:color w:val="auto"/>
                <w:sz w:val="24"/>
                <w:szCs w:val="24"/>
                <w:lang w:bidi="ar"/>
              </w:rPr>
              <w:t>、《排污许可证申请与核发技术规范 橡胶和塑料制品工业</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z w:val="24"/>
                <w:szCs w:val="24"/>
                <w:lang w:val="en-US" w:eastAsia="zh-CN"/>
              </w:rPr>
              <w:t>1122-</w:t>
            </w: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bidi="ar"/>
              </w:rPr>
              <w:t>要求及《环境工程技术手册：废气处理工程技术手册》设置废气收集系统</w:t>
            </w:r>
            <w:r>
              <w:rPr>
                <w:rFonts w:hint="default" w:ascii="Times New Roman" w:hAnsi="Times New Roman" w:eastAsia="宋体" w:cs="Times New Roman"/>
                <w:color w:val="auto"/>
                <w:sz w:val="24"/>
                <w:szCs w:val="24"/>
                <w:lang w:eastAsia="zh-CN" w:bidi="ar"/>
              </w:rPr>
              <w:t>。</w:t>
            </w:r>
          </w:p>
          <w:p w14:paraId="320B3EBD">
            <w:pPr>
              <w:keepNext w:val="0"/>
              <w:keepLines w:val="0"/>
              <w:pageBreakBefore w:val="0"/>
              <w:widowControl w:val="0"/>
              <w:tabs>
                <w:tab w:val="left" w:pos="630"/>
              </w:tabs>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color w:val="auto"/>
                <w:spacing w:val="0"/>
                <w:sz w:val="24"/>
                <w:szCs w:val="24"/>
                <w:highlight w:val="none"/>
                <w:lang w:val="en-US" w:eastAsia="zh-CN"/>
              </w:rPr>
              <w:t>投料粉尘、挤出废气由集气罩收集</w:t>
            </w:r>
            <w:r>
              <w:rPr>
                <w:rFonts w:hint="eastAsia" w:cs="Times New Roman"/>
                <w:color w:val="auto"/>
                <w:spacing w:val="0"/>
                <w:sz w:val="24"/>
                <w:szCs w:val="24"/>
                <w:highlight w:val="none"/>
                <w:lang w:val="en-US" w:eastAsia="zh-CN"/>
              </w:rPr>
              <w:t>，</w:t>
            </w:r>
            <w:r>
              <w:rPr>
                <w:rFonts w:hint="default" w:ascii="Times New Roman" w:hAnsi="Times New Roman" w:eastAsia="宋体" w:cs="Times New Roman"/>
                <w:smallCaps w:val="0"/>
                <w:color w:val="auto"/>
                <w:spacing w:val="0"/>
                <w:sz w:val="24"/>
                <w:szCs w:val="24"/>
                <w:lang w:val="en-US" w:eastAsia="zh-CN"/>
              </w:rPr>
              <w:t>可有效收集废气，</w:t>
            </w:r>
            <w:r>
              <w:rPr>
                <w:rFonts w:hint="default" w:ascii="Times New Roman" w:hAnsi="Times New Roman" w:eastAsia="宋体" w:cs="Times New Roman"/>
                <w:smallCaps w:val="0"/>
                <w:color w:val="auto"/>
                <w:spacing w:val="0"/>
                <w:sz w:val="24"/>
                <w:szCs w:val="24"/>
              </w:rPr>
              <w:t>参考《废气处理工程技术手册》（王纯张殿印主编）“上部伞形罩冷态”排气量计算公式计算单个集气罩排气量，过程如下：</w:t>
            </w:r>
          </w:p>
          <w:p w14:paraId="22F27E98">
            <w:pPr>
              <w:keepNext w:val="0"/>
              <w:keepLines w:val="0"/>
              <w:suppressLineNumbers w:val="0"/>
              <w:adjustRightInd w:val="0"/>
              <w:snapToGrid w:val="0"/>
              <w:spacing w:before="0" w:beforeAutospacing="0" w:after="0" w:afterAutospacing="0" w:line="500" w:lineRule="exact"/>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Q=K</w:t>
            </w:r>
            <w:r>
              <w:rPr>
                <w:rFonts w:hint="default" w:ascii="Times New Roman" w:hAnsi="Times New Roman" w:eastAsia="宋体" w:cs="Times New Roman"/>
                <w:color w:val="auto"/>
                <w:sz w:val="24"/>
                <w:szCs w:val="24"/>
                <w:highlight w:val="none"/>
                <w:lang w:val="en-US" w:eastAsia="zh-CN"/>
              </w:rPr>
              <w:t>×P×</w:t>
            </w:r>
            <w:r>
              <w:rPr>
                <w:rFonts w:hint="default" w:ascii="Times New Roman" w:hAnsi="Times New Roman" w:eastAsia="宋体" w:cs="Times New Roman"/>
                <w:color w:val="auto"/>
                <w:sz w:val="24"/>
                <w:szCs w:val="24"/>
                <w:highlight w:val="none"/>
              </w:rPr>
              <w:t>H</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 xml:space="preserve">Vx ，其中： </w:t>
            </w:r>
          </w:p>
          <w:p w14:paraId="19304475">
            <w:pPr>
              <w:keepNext w:val="0"/>
              <w:keepLines w:val="0"/>
              <w:pageBreakBefore w:val="0"/>
              <w:numPr>
                <w:ilvl w:val="0"/>
                <w:numId w:val="4"/>
              </w:numPr>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-设计安全系数，一般取1.1-1.5，本次取1.3；</w:t>
            </w:r>
          </w:p>
          <w:p w14:paraId="3627FB7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P</w:t>
            </w:r>
            <w:r>
              <w:rPr>
                <w:rFonts w:hint="default" w:ascii="Times New Roman" w:hAnsi="Times New Roman" w:eastAsia="宋体" w:cs="Times New Roman"/>
                <w:color w:val="auto"/>
                <w:sz w:val="24"/>
                <w:szCs w:val="24"/>
                <w:highlight w:val="none"/>
              </w:rPr>
              <w:t xml:space="preserve">--排风罩敞开面的周长，m； </w:t>
            </w:r>
          </w:p>
          <w:p w14:paraId="41E9AD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H--污染源至罩口距离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rPr>
              <w:t xml:space="preserve">； </w:t>
            </w:r>
          </w:p>
          <w:p w14:paraId="4FBA43A7">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smallCaps w:val="0"/>
                <w:color w:val="auto"/>
                <w:spacing w:val="0"/>
                <w:sz w:val="24"/>
                <w:szCs w:val="24"/>
              </w:rPr>
            </w:pPr>
            <w:r>
              <w:rPr>
                <w:rFonts w:hint="default" w:ascii="Times New Roman" w:hAnsi="Times New Roman" w:eastAsia="宋体" w:cs="Times New Roman"/>
                <w:color w:val="auto"/>
                <w:sz w:val="24"/>
                <w:szCs w:val="24"/>
                <w:highlight w:val="none"/>
              </w:rPr>
              <w:t>Vx--操作口空气速度，建议取值 0.25~2.5m/s，本项目取0.</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m/s。</w:t>
            </w:r>
          </w:p>
          <w:p w14:paraId="38B5A15F">
            <w:pPr>
              <w:keepNext w:val="0"/>
              <w:keepLines w:val="0"/>
              <w:pageBreakBefore w:val="0"/>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kinsoku/>
              <w:wordWrap/>
              <w:overflowPunct/>
              <w:topLinePunct w:val="0"/>
              <w:autoSpaceDE/>
              <w:autoSpaceDN/>
              <w:bidi w:val="0"/>
              <w:spacing w:line="480" w:lineRule="exact"/>
              <w:ind w:firstLine="420"/>
              <w:textAlignment w:val="auto"/>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本项目废气收集系统情况如下表所示：</w:t>
            </w:r>
            <w:bookmarkEnd w:id="9"/>
          </w:p>
          <w:p w14:paraId="3C2E0D2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本项目废气收集系统情况</w:t>
            </w:r>
          </w:p>
          <w:tbl>
            <w:tblPr>
              <w:tblStyle w:val="44"/>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33"/>
              <w:gridCol w:w="1382"/>
              <w:gridCol w:w="1323"/>
              <w:gridCol w:w="909"/>
              <w:gridCol w:w="2592"/>
              <w:gridCol w:w="939"/>
              <w:gridCol w:w="939"/>
            </w:tblGrid>
            <w:tr w14:paraId="27D11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614" w:type="pct"/>
                  <w:noWrap w:val="0"/>
                  <w:vAlign w:val="center"/>
                </w:tcPr>
                <w:p w14:paraId="31482DA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lang w:val="en-US"/>
                    </w:rPr>
                  </w:pPr>
                  <w:r>
                    <w:rPr>
                      <w:rFonts w:hint="default" w:ascii="Times New Roman" w:hAnsi="Times New Roman" w:eastAsia="宋体" w:cs="Times New Roman"/>
                      <w:b/>
                      <w:color w:val="auto"/>
                      <w:sz w:val="21"/>
                      <w:szCs w:val="21"/>
                      <w:highlight w:val="none"/>
                      <w:lang w:val="en-US" w:eastAsia="zh-CN"/>
                    </w:rPr>
                    <w:t>废气种类</w:t>
                  </w:r>
                </w:p>
              </w:tc>
              <w:tc>
                <w:tcPr>
                  <w:tcW w:w="749" w:type="pct"/>
                  <w:noWrap w:val="0"/>
                  <w:vAlign w:val="center"/>
                </w:tcPr>
                <w:p w14:paraId="1029A20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产污设备数量（台/套）</w:t>
                  </w:r>
                </w:p>
              </w:tc>
              <w:tc>
                <w:tcPr>
                  <w:tcW w:w="717" w:type="pct"/>
                  <w:noWrap w:val="0"/>
                  <w:vAlign w:val="center"/>
                </w:tcPr>
                <w:p w14:paraId="3A738621">
                  <w:pPr>
                    <w:pStyle w:val="183"/>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收集方式</w:t>
                  </w:r>
                </w:p>
              </w:tc>
              <w:tc>
                <w:tcPr>
                  <w:tcW w:w="493" w:type="pct"/>
                  <w:noWrap w:val="0"/>
                  <w:vAlign w:val="center"/>
                </w:tcPr>
                <w:p w14:paraId="409536C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处理对象</w:t>
                  </w:r>
                </w:p>
              </w:tc>
              <w:tc>
                <w:tcPr>
                  <w:tcW w:w="1406" w:type="pct"/>
                  <w:noWrap w:val="0"/>
                  <w:vAlign w:val="center"/>
                </w:tcPr>
                <w:p w14:paraId="2A8AD924">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计算过程</w:t>
                  </w:r>
                </w:p>
              </w:tc>
              <w:tc>
                <w:tcPr>
                  <w:tcW w:w="509" w:type="pct"/>
                  <w:noWrap w:val="0"/>
                  <w:vAlign w:val="center"/>
                </w:tcPr>
                <w:p w14:paraId="4775F4B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核算风量（m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/h）</w:t>
                  </w:r>
                </w:p>
              </w:tc>
              <w:tc>
                <w:tcPr>
                  <w:tcW w:w="509" w:type="pct"/>
                  <w:noWrap w:val="0"/>
                  <w:vAlign w:val="center"/>
                </w:tcPr>
                <w:p w14:paraId="3667840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设计风量</w:t>
                  </w:r>
                  <w:r>
                    <w:rPr>
                      <w:rFonts w:hint="default" w:ascii="Times New Roman" w:hAnsi="Times New Roman" w:eastAsia="宋体" w:cs="Times New Roman"/>
                      <w:b/>
                      <w:color w:val="auto"/>
                      <w:sz w:val="21"/>
                      <w:szCs w:val="21"/>
                      <w:highlight w:val="none"/>
                    </w:rPr>
                    <w:t>（m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/h）</w:t>
                  </w:r>
                </w:p>
              </w:tc>
            </w:tr>
            <w:tr w14:paraId="2CEA8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4" w:type="pct"/>
                  <w:noWrap w:val="0"/>
                  <w:vAlign w:val="center"/>
                </w:tcPr>
                <w:p w14:paraId="0919CA6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投料粉尘</w:t>
                  </w:r>
                </w:p>
              </w:tc>
              <w:tc>
                <w:tcPr>
                  <w:tcW w:w="749" w:type="pct"/>
                  <w:noWrap w:val="0"/>
                  <w:vAlign w:val="center"/>
                </w:tcPr>
                <w:p w14:paraId="52F3371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717" w:type="pct"/>
                  <w:noWrap w:val="0"/>
                  <w:vAlign w:val="center"/>
                </w:tcPr>
                <w:p w14:paraId="21972AA0">
                  <w:pPr>
                    <w:pStyle w:val="183"/>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集气罩收集</w:t>
                  </w:r>
                </w:p>
              </w:tc>
              <w:tc>
                <w:tcPr>
                  <w:tcW w:w="493" w:type="pct"/>
                  <w:noWrap w:val="0"/>
                  <w:vAlign w:val="center"/>
                </w:tcPr>
                <w:p w14:paraId="7FB4553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406" w:type="pct"/>
                  <w:noWrap w:val="0"/>
                  <w:vAlign w:val="center"/>
                </w:tcPr>
                <w:p w14:paraId="03E02A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smallCaps w:val="0"/>
                      <w:color w:val="auto"/>
                      <w:spacing w:val="0"/>
                      <w:sz w:val="21"/>
                      <w:szCs w:val="21"/>
                      <w:lang w:val="en-US" w:eastAsia="zh-CN"/>
                    </w:rPr>
                    <w:t>Q=1.3*</w:t>
                  </w:r>
                  <w:r>
                    <w:rPr>
                      <w:rFonts w:hint="eastAsia" w:cs="Times New Roman"/>
                      <w:smallCaps w:val="0"/>
                      <w:color w:val="auto"/>
                      <w:spacing w:val="0"/>
                      <w:sz w:val="21"/>
                      <w:szCs w:val="21"/>
                      <w:lang w:val="en-US" w:eastAsia="zh-CN"/>
                    </w:rPr>
                    <w:t>1.5</w:t>
                  </w:r>
                  <w:r>
                    <w:rPr>
                      <w:rFonts w:hint="default" w:ascii="Times New Roman" w:hAnsi="Times New Roman" w:eastAsia="宋体" w:cs="Times New Roman"/>
                      <w:smallCaps w:val="0"/>
                      <w:color w:val="auto"/>
                      <w:spacing w:val="0"/>
                      <w:sz w:val="21"/>
                      <w:szCs w:val="21"/>
                      <w:lang w:val="en-US" w:eastAsia="zh-CN"/>
                    </w:rPr>
                    <w:t>*0.5*0.3*1*3600</w:t>
                  </w:r>
                </w:p>
              </w:tc>
              <w:tc>
                <w:tcPr>
                  <w:tcW w:w="509" w:type="pct"/>
                  <w:noWrap w:val="0"/>
                  <w:vAlign w:val="center"/>
                </w:tcPr>
                <w:p w14:paraId="60BE4B2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1053</w:t>
                  </w:r>
                </w:p>
              </w:tc>
              <w:tc>
                <w:tcPr>
                  <w:tcW w:w="509" w:type="pct"/>
                  <w:vMerge w:val="restart"/>
                  <w:noWrap w:val="0"/>
                  <w:vAlign w:val="center"/>
                </w:tcPr>
                <w:p w14:paraId="363922E6">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000</w:t>
                  </w:r>
                </w:p>
              </w:tc>
            </w:tr>
            <w:tr w14:paraId="43E43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4" w:type="pct"/>
                  <w:noWrap w:val="0"/>
                  <w:vAlign w:val="center"/>
                </w:tcPr>
                <w:p w14:paraId="41FB786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挤出废气</w:t>
                  </w:r>
                </w:p>
              </w:tc>
              <w:tc>
                <w:tcPr>
                  <w:tcW w:w="749" w:type="pct"/>
                  <w:noWrap w:val="0"/>
                  <w:vAlign w:val="center"/>
                </w:tcPr>
                <w:p w14:paraId="7ECC2C1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717" w:type="pct"/>
                  <w:shd w:val="clear" w:color="auto" w:fill="auto"/>
                  <w:noWrap w:val="0"/>
                  <w:vAlign w:val="center"/>
                </w:tcPr>
                <w:p w14:paraId="42AA699A">
                  <w:pPr>
                    <w:pStyle w:val="183"/>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集气罩收集</w:t>
                  </w:r>
                </w:p>
              </w:tc>
              <w:tc>
                <w:tcPr>
                  <w:tcW w:w="493" w:type="pct"/>
                  <w:shd w:val="clear" w:color="auto" w:fill="auto"/>
                  <w:noWrap w:val="0"/>
                  <w:vAlign w:val="center"/>
                </w:tcPr>
                <w:p w14:paraId="50112585">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非甲烷总烃</w:t>
                  </w:r>
                </w:p>
              </w:tc>
              <w:tc>
                <w:tcPr>
                  <w:tcW w:w="1406" w:type="pct"/>
                  <w:noWrap w:val="0"/>
                  <w:vAlign w:val="center"/>
                </w:tcPr>
                <w:p w14:paraId="497027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mallCaps w:val="0"/>
                      <w:color w:val="auto"/>
                      <w:spacing w:val="0"/>
                      <w:sz w:val="21"/>
                      <w:szCs w:val="21"/>
                      <w:lang w:val="en-US" w:eastAsia="zh-CN"/>
                    </w:rPr>
                  </w:pPr>
                  <w:r>
                    <w:rPr>
                      <w:rFonts w:hint="default" w:ascii="Times New Roman" w:hAnsi="Times New Roman" w:eastAsia="宋体" w:cs="Times New Roman"/>
                      <w:smallCaps w:val="0"/>
                      <w:color w:val="auto"/>
                      <w:spacing w:val="0"/>
                      <w:sz w:val="21"/>
                      <w:szCs w:val="21"/>
                      <w:lang w:val="en-US" w:eastAsia="zh-CN"/>
                    </w:rPr>
                    <w:t>Q=1.3*</w:t>
                  </w:r>
                  <w:r>
                    <w:rPr>
                      <w:rFonts w:hint="eastAsia" w:cs="Times New Roman"/>
                      <w:smallCaps w:val="0"/>
                      <w:color w:val="auto"/>
                      <w:spacing w:val="0"/>
                      <w:sz w:val="21"/>
                      <w:szCs w:val="21"/>
                      <w:lang w:val="en-US" w:eastAsia="zh-CN"/>
                    </w:rPr>
                    <w:t>1.5</w:t>
                  </w:r>
                  <w:r>
                    <w:rPr>
                      <w:rFonts w:hint="default" w:ascii="Times New Roman" w:hAnsi="Times New Roman" w:eastAsia="宋体" w:cs="Times New Roman"/>
                      <w:smallCaps w:val="0"/>
                      <w:color w:val="auto"/>
                      <w:spacing w:val="0"/>
                      <w:sz w:val="21"/>
                      <w:szCs w:val="21"/>
                      <w:lang w:val="en-US" w:eastAsia="zh-CN"/>
                    </w:rPr>
                    <w:t>*0.3*0.3*8*3600</w:t>
                  </w:r>
                </w:p>
              </w:tc>
              <w:tc>
                <w:tcPr>
                  <w:tcW w:w="509" w:type="pct"/>
                  <w:noWrap w:val="0"/>
                  <w:vAlign w:val="center"/>
                </w:tcPr>
                <w:p w14:paraId="27AE73D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5054.4</w:t>
                  </w:r>
                </w:p>
              </w:tc>
              <w:tc>
                <w:tcPr>
                  <w:tcW w:w="509" w:type="pct"/>
                  <w:vMerge w:val="continue"/>
                  <w:noWrap w:val="0"/>
                  <w:vAlign w:val="center"/>
                </w:tcPr>
                <w:p w14:paraId="264BD7C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r>
          </w:tbl>
          <w:p w14:paraId="1B5F38B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val="0"/>
                <w:bCs/>
                <w:color w:val="auto"/>
                <w:spacing w:val="0"/>
                <w:sz w:val="24"/>
                <w:szCs w:val="24"/>
                <w:highlight w:val="none"/>
                <w:lang w:val="en-US" w:eastAsia="zh-CN"/>
              </w:rPr>
              <w:t>由上表可知，计算得出的风量为</w:t>
            </w:r>
            <w:r>
              <w:rPr>
                <w:rFonts w:hint="eastAsia" w:cs="Times New Roman"/>
                <w:b w:val="0"/>
                <w:bCs/>
                <w:color w:val="auto"/>
                <w:spacing w:val="0"/>
                <w:sz w:val="24"/>
                <w:szCs w:val="24"/>
                <w:highlight w:val="none"/>
                <w:lang w:val="en-US" w:eastAsia="zh-CN"/>
              </w:rPr>
              <w:t>6107.4</w:t>
            </w:r>
            <w:r>
              <w:rPr>
                <w:rFonts w:hint="default" w:ascii="Times New Roman" w:hAnsi="Times New Roman" w:eastAsia="宋体" w:cs="Times New Roman"/>
                <w:b w:val="0"/>
                <w:bCs/>
                <w:color w:val="auto"/>
                <w:spacing w:val="0"/>
                <w:sz w:val="24"/>
                <w:szCs w:val="24"/>
                <w:highlight w:val="none"/>
                <w:lang w:val="en-US" w:eastAsia="zh-CN"/>
              </w:rPr>
              <w:t>m³/h，考虑到风管压损，本项目设计风量为</w:t>
            </w:r>
            <w:r>
              <w:rPr>
                <w:rFonts w:hint="eastAsia" w:cs="Times New Roman"/>
                <w:b w:val="0"/>
                <w:bCs/>
                <w:color w:val="auto"/>
                <w:spacing w:val="0"/>
                <w:sz w:val="24"/>
                <w:szCs w:val="24"/>
                <w:highlight w:val="none"/>
                <w:lang w:val="en-US" w:eastAsia="zh-CN"/>
              </w:rPr>
              <w:t>7</w:t>
            </w:r>
            <w:r>
              <w:rPr>
                <w:rFonts w:hint="default" w:ascii="Times New Roman" w:hAnsi="Times New Roman" w:eastAsia="宋体" w:cs="Times New Roman"/>
                <w:b w:val="0"/>
                <w:bCs/>
                <w:color w:val="auto"/>
                <w:spacing w:val="0"/>
                <w:sz w:val="24"/>
                <w:szCs w:val="24"/>
                <w:highlight w:val="none"/>
                <w:lang w:val="en-US" w:eastAsia="zh-CN"/>
              </w:rPr>
              <w:t>000m³/h，能够满足该吸风要求</w:t>
            </w:r>
            <w:r>
              <w:rPr>
                <w:rFonts w:hint="default" w:ascii="Times New Roman" w:hAnsi="Times New Roman" w:eastAsia="宋体" w:cs="Times New Roman"/>
                <w:b w:val="0"/>
                <w:bCs/>
                <w:color w:val="auto"/>
                <w:spacing w:val="0"/>
                <w:sz w:val="24"/>
                <w:szCs w:val="24"/>
                <w:highlight w:val="none"/>
                <w:lang w:eastAsia="zh-CN"/>
              </w:rPr>
              <w:t>。</w:t>
            </w:r>
            <w:r>
              <w:rPr>
                <w:rFonts w:hint="default" w:ascii="Times New Roman" w:hAnsi="Times New Roman" w:eastAsia="宋体" w:cs="Times New Roman"/>
                <w:b w:val="0"/>
                <w:bCs/>
                <w:color w:val="auto"/>
                <w:spacing w:val="0"/>
                <w:sz w:val="24"/>
                <w:szCs w:val="24"/>
                <w:highlight w:val="none"/>
              </w:rPr>
              <w:t>该废气收集系统符合《重点行业挥发性有机物综合治理方案》对控制风速的要求（≥0.3m/s），风量设计合理。</w:t>
            </w:r>
          </w:p>
          <w:p w14:paraId="78902E30">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2.2.1.2</w:t>
            </w:r>
            <w:r>
              <w:rPr>
                <w:rFonts w:hint="default" w:ascii="Times New Roman" w:hAnsi="Times New Roman" w:eastAsia="宋体" w:cs="Times New Roman"/>
                <w:b/>
                <w:bCs/>
                <w:color w:val="auto"/>
                <w:sz w:val="24"/>
                <w:szCs w:val="24"/>
                <w:lang w:val="en-US" w:eastAsia="zh-CN"/>
              </w:rPr>
              <w:t>废气</w:t>
            </w:r>
            <w:r>
              <w:rPr>
                <w:rFonts w:hint="default" w:ascii="Times New Roman" w:hAnsi="Times New Roman" w:eastAsia="宋体" w:cs="Times New Roman"/>
                <w:b/>
                <w:bCs/>
                <w:color w:val="auto"/>
                <w:sz w:val="24"/>
                <w:szCs w:val="24"/>
              </w:rPr>
              <w:t>治理措施</w:t>
            </w:r>
          </w:p>
          <w:p w14:paraId="304B7D68">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ind w:firstLine="42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本项目废气的净化措施</w:t>
            </w:r>
            <w:r>
              <w:rPr>
                <w:rFonts w:hint="default" w:ascii="Times New Roman" w:hAnsi="Times New Roman" w:eastAsia="宋体" w:cs="Times New Roman"/>
                <w:color w:val="auto"/>
                <w:sz w:val="24"/>
                <w:szCs w:val="24"/>
                <w:lang w:val="en-US" w:eastAsia="zh-CN" w:bidi="ar"/>
              </w:rPr>
              <w:t>主要为布袋除尘器、二级活性炭吸附装置</w:t>
            </w:r>
            <w:r>
              <w:rPr>
                <w:rFonts w:hint="default" w:ascii="Times New Roman" w:hAnsi="Times New Roman" w:eastAsia="宋体" w:cs="Times New Roman"/>
                <w:color w:val="auto"/>
                <w:sz w:val="24"/>
                <w:szCs w:val="24"/>
                <w:lang w:bidi="ar"/>
              </w:rPr>
              <w:t>。</w:t>
            </w:r>
          </w:p>
          <w:p w14:paraId="41F0DEF6">
            <w:pPr>
              <w:rPr>
                <w:rFonts w:hint="eastAsia"/>
                <w:color w:val="auto"/>
                <w:lang w:eastAsia="zh-CN"/>
              </w:rPr>
            </w:pPr>
            <w:r>
              <w:rPr>
                <w:rFonts w:hint="eastAsia"/>
                <w:color w:val="auto"/>
                <w:sz w:val="24"/>
                <w:szCs w:val="24"/>
                <w:lang w:eastAsia="zh-CN"/>
              </w:rPr>
              <w:t>车间的</w:t>
            </w:r>
            <w:r>
              <w:rPr>
                <w:rFonts w:hint="eastAsia"/>
                <w:color w:val="auto"/>
                <w:sz w:val="24"/>
                <w:szCs w:val="24"/>
                <w:lang w:val="en-US" w:eastAsia="zh-CN"/>
              </w:rPr>
              <w:t>废气产生点均配备了有效的收集措施，主要是集气罩。通过类比同类工程可知，在采取同样的捕集措施时，捕集效率较为理想。企业在</w:t>
            </w:r>
            <w:r>
              <w:rPr>
                <w:rFonts w:hint="eastAsia"/>
                <w:snapToGrid w:val="0"/>
                <w:color w:val="auto"/>
                <w:kern w:val="0"/>
                <w:sz w:val="24"/>
                <w:szCs w:val="24"/>
                <w:lang w:val="en-US" w:eastAsia="zh-CN"/>
              </w:rPr>
              <w:t>投料口周边设置了防逸散围堰，这使得粉尘能够被集气罩最大程度地捕集。挤出工段产生废气的开口极小，且集气罩与产生源的距离较近，能够有效捕集废气。</w:t>
            </w:r>
            <w:r>
              <w:rPr>
                <w:rFonts w:hint="eastAsia"/>
                <w:color w:val="auto"/>
                <w:sz w:val="24"/>
                <w:szCs w:val="24"/>
                <w:lang w:eastAsia="zh-CN"/>
              </w:rPr>
              <w:t>经</w:t>
            </w:r>
            <w:r>
              <w:rPr>
                <w:rFonts w:hint="eastAsia"/>
                <w:color w:val="auto"/>
                <w:sz w:val="24"/>
                <w:szCs w:val="24"/>
                <w:lang w:val="en-US" w:eastAsia="zh-CN"/>
              </w:rPr>
              <w:t xml:space="preserve">上述分析，拟建工程在各个废气产生点的捕集效率均大于或等于90%，无组织废气也均能达标排放。由此可见，拟建工程所采取的捕集措施是可行的。 </w:t>
            </w:r>
          </w:p>
          <w:p w14:paraId="0E8F66C6">
            <w:pPr>
              <w:ind w:firstLine="480" w:firstLineChars="200"/>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val="en-US" w:eastAsia="zh-CN"/>
              </w:rPr>
              <w:t>1、布袋除尘器</w:t>
            </w:r>
          </w:p>
          <w:p w14:paraId="3FC58607">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1</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处理工艺</w:t>
            </w:r>
          </w:p>
          <w:p w14:paraId="421662E1">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袋式除尘器原理：含尘气体进入挂有一定数量滤袋的袋室后，被滤袋纤维过滤。随着阻留的粉尘不断增加，一部分粉尘嵌入滤料内部；一部分覆盖在滤袋表面形成一层粉尘层。此时，含尘气体的过滤主要依靠粉尘层进行。其除尘机理为含尘气体通过粉尘层与滤料时产生的筛分、惯性、粘附、扩散与静电等作用，使粉尘得到捕集。当粉尘层加厚，压力损失达到一定程度时，需要进行清灰。清灰后压力降低，但仍有一部分粉尘残留在滤袋上，在下一个过滤周期开始时，起良好的捕尘作用。袋式除尘技术是利用纤维织物的过滤作用对含尘气体进行过滤分离。当含尘气体进入袋式除尘器后，粒径大、比重大的粉尘在重力作用下沉降，落入灰斗；携带烟尘的气体通过滤料时，细小粉尘被阻留在滤料上，气体通过滤料，从而尘气分离，使含尘气体得到净化。</w:t>
            </w:r>
          </w:p>
          <w:p w14:paraId="161FC2BC">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袋式除尘器属高效除尘设备，广泛应用于粉尘的净化过程。袋式除尘器对粉尘比电阻变化适应性强，适用于温度和水分不高且波动不大的含尘废气的净化。粉尘和烟气成分不同时，袋式除尘器可能需要采用不同的滤料。滤袋破损时需要更换，运行维护工作量较大，对制造、安装、运行、维护都有较高要求。</w:t>
            </w:r>
          </w:p>
          <w:p w14:paraId="783CBF05">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拟建工程含尘废气主要采用脉冲袋式除尘器净化处理，不同污染源需满足不同的排放限值。滤袋的材质包括天然纤维和化学纤维，目前应用较为广泛的是化学纤维，包括有涤纶机织布和涤纶、腈纶、丙纶针刺毡等。为了克服普通滤料初期低效率、后期高耗能、滤料更换周期高等缺点，目前普遍采用覆膜滤料，即在普通滤料表面复合一层薄膜而</w:t>
            </w:r>
            <w:r>
              <w:rPr>
                <w:rFonts w:hint="default" w:ascii="Times New Roman" w:hAnsi="Times New Roman" w:eastAsia="宋体" w:cs="Times New Roman"/>
                <w:b w:val="0"/>
                <w:bCs w:val="0"/>
                <w:color w:val="auto"/>
                <w:sz w:val="24"/>
                <w:szCs w:val="24"/>
                <w:lang w:eastAsia="zh-CN"/>
              </w:rPr>
              <w:t>形成</w:t>
            </w:r>
            <w:r>
              <w:rPr>
                <w:rFonts w:hint="default" w:ascii="Times New Roman" w:hAnsi="Times New Roman" w:eastAsia="宋体" w:cs="Times New Roman"/>
                <w:b w:val="0"/>
                <w:bCs w:val="0"/>
                <w:color w:val="auto"/>
                <w:sz w:val="24"/>
                <w:szCs w:val="24"/>
              </w:rPr>
              <w:t>的一种新型滤料，这层薄膜相当于起到了“一次粉尘层”的作用，物料交换是在膜表面进行的，使用之初就能进行有效的过滤；薄膜特有的立体网状结构，使粉尘无法穿过，无孔隙堵塞危害；过滤膜通常是由高分子聚合物制成的，厚度一般为100～150µm，微孔滤膜孔径小，捕集率很高，即使对不同粒径的微细粒子也有较高的捕集率，并可防止进入滤料深处，不需要形成普通滤料具有的粉尘初层，清灰容易。这一特性为袋式除尘器在潮湿条件下工作防止因结露造成滤袋结垢而失效创造了一定的条件，同时防止滤料的堵塞和结垢，降低滤料的阻力，因而有利于降低除尘器系统运行的能耗。</w:t>
            </w:r>
          </w:p>
          <w:p w14:paraId="289F522D">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为保证对不同粒径颗粒物的过滤去除效果，选取的覆膜滤料孔径需要小于3.0µm，以保证对粒径大于2.6µm颗粒物的过滤净化效果。为此，拟建工程含尘废气净化措施采用袋式除尘器，选用覆膜涤纶针刺毡，滤料滤膜孔径选择在0.3～3µm，可保证排放废气中颗粒物浓度小于</w:t>
            </w:r>
            <w:r>
              <w:rPr>
                <w:rFonts w:hint="eastAsia" w:cs="Times New Roman"/>
                <w:b w:val="0"/>
                <w:bCs w:val="0"/>
                <w:color w:val="auto"/>
                <w:sz w:val="24"/>
                <w:szCs w:val="24"/>
                <w:lang w:val="en-US" w:eastAsia="zh-CN"/>
              </w:rPr>
              <w:t>15</w:t>
            </w:r>
            <w:r>
              <w:rPr>
                <w:rFonts w:hint="default" w:ascii="Times New Roman" w:hAnsi="Times New Roman" w:eastAsia="宋体" w:cs="Times New Roman"/>
                <w:b w:val="0"/>
                <w:bCs w:val="0"/>
                <w:color w:val="auto"/>
                <w:sz w:val="24"/>
                <w:szCs w:val="24"/>
              </w:rPr>
              <w:t>mg/m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，并满足对应排放标准要求，本工程袋式除尘器设计满足《袋式除尘工程通用技术规范》（HJ2020-2012）相关要求。</w:t>
            </w:r>
          </w:p>
          <w:p w14:paraId="7B2B185B">
            <w:pPr>
              <w:spacing w:line="240" w:lineRule="auto"/>
              <w:ind w:firstLine="420"/>
              <w:jc w:val="center"/>
              <w:rPr>
                <w:rFonts w:hint="default" w:ascii="Times New Roman" w:hAnsi="Times New Roman" w:eastAsia="宋体" w:cs="Times New Roman"/>
                <w:color w:val="auto"/>
                <w:szCs w:val="28"/>
              </w:rPr>
            </w:pPr>
            <w:r>
              <w:rPr>
                <w:rFonts w:hint="default" w:ascii="Times New Roman" w:hAnsi="Times New Roman" w:eastAsia="宋体" w:cs="Times New Roman"/>
                <w:color w:val="auto"/>
                <w:szCs w:val="28"/>
              </w:rPr>
              <w:drawing>
                <wp:inline distT="0" distB="0" distL="114300" distR="114300">
                  <wp:extent cx="2839085" cy="1795145"/>
                  <wp:effectExtent l="0" t="0" r="10795" b="317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21"/>
                          <a:stretch>
                            <a:fillRect/>
                          </a:stretch>
                        </pic:blipFill>
                        <pic:spPr>
                          <a:xfrm>
                            <a:off x="0" y="0"/>
                            <a:ext cx="2839085" cy="1795145"/>
                          </a:xfrm>
                          <a:prstGeom prst="rect">
                            <a:avLst/>
                          </a:prstGeom>
                          <a:noFill/>
                          <a:ln>
                            <a:noFill/>
                          </a:ln>
                        </pic:spPr>
                      </pic:pic>
                    </a:graphicData>
                  </a:graphic>
                </wp:inline>
              </w:drawing>
            </w:r>
          </w:p>
          <w:p w14:paraId="04FB3613">
            <w:pPr>
              <w:spacing w:line="500" w:lineRule="exact"/>
              <w:ind w:firstLine="422"/>
              <w:jc w:val="center"/>
              <w:rPr>
                <w:rFonts w:hint="default" w:ascii="Times New Roman" w:hAnsi="Times New Roman" w:eastAsia="宋体" w:cs="Times New Roman"/>
                <w:b/>
                <w:bCs/>
                <w:color w:val="auto"/>
                <w:kern w:val="0"/>
              </w:rPr>
            </w:pPr>
            <w:bookmarkStart w:id="10" w:name="_Ref415782841"/>
            <w:r>
              <w:rPr>
                <w:rFonts w:hint="default" w:ascii="Times New Roman" w:hAnsi="Times New Roman" w:eastAsia="宋体" w:cs="Times New Roman"/>
                <w:b/>
                <w:bCs/>
                <w:color w:val="auto"/>
                <w:kern w:val="0"/>
              </w:rPr>
              <w:t>图</w:t>
            </w:r>
            <w:bookmarkEnd w:id="10"/>
            <w:r>
              <w:rPr>
                <w:rFonts w:hint="default" w:ascii="Times New Roman" w:hAnsi="Times New Roman" w:eastAsia="宋体" w:cs="Times New Roman"/>
                <w:b/>
                <w:bCs/>
                <w:color w:val="auto"/>
                <w:kern w:val="0"/>
              </w:rPr>
              <w:t>4</w:t>
            </w:r>
            <w:r>
              <w:rPr>
                <w:rFonts w:hint="eastAsia" w:cs="Times New Roman"/>
                <w:b/>
                <w:bCs/>
                <w:color w:val="auto"/>
                <w:kern w:val="0"/>
                <w:lang w:val="en-US" w:eastAsia="zh-CN"/>
              </w:rPr>
              <w:t>.2</w:t>
            </w:r>
            <w:r>
              <w:rPr>
                <w:rFonts w:hint="default" w:ascii="Times New Roman" w:hAnsi="Times New Roman" w:eastAsia="宋体" w:cs="Times New Roman"/>
                <w:b/>
                <w:bCs/>
                <w:color w:val="auto"/>
                <w:kern w:val="0"/>
              </w:rPr>
              <w:t>-</w:t>
            </w:r>
            <w:r>
              <w:rPr>
                <w:rFonts w:hint="eastAsia" w:cs="Times New Roman"/>
                <w:b/>
                <w:bCs/>
                <w:color w:val="auto"/>
                <w:kern w:val="0"/>
                <w:lang w:val="en-US" w:eastAsia="zh-CN"/>
              </w:rPr>
              <w:t>2</w:t>
            </w:r>
            <w:r>
              <w:rPr>
                <w:rFonts w:hint="default" w:ascii="Times New Roman" w:hAnsi="Times New Roman" w:eastAsia="宋体" w:cs="Times New Roman"/>
                <w:b/>
                <w:bCs/>
                <w:color w:val="auto"/>
                <w:kern w:val="0"/>
              </w:rPr>
              <w:t xml:space="preserve">  布袋除尘器工作原理示意图</w:t>
            </w:r>
          </w:p>
          <w:p w14:paraId="15CBB007">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处理可行性及达标分析</w:t>
            </w:r>
          </w:p>
          <w:p w14:paraId="4225602E">
            <w:pPr>
              <w:ind w:firstLine="480" w:firstLineChars="20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w:t>
            </w:r>
            <w:r>
              <w:rPr>
                <w:rFonts w:hint="default" w:ascii="Times New Roman" w:hAnsi="Times New Roman" w:eastAsia="宋体" w:cs="Times New Roman"/>
                <w:color w:val="auto"/>
                <w:sz w:val="24"/>
                <w:szCs w:val="24"/>
                <w:lang w:val="en-US" w:eastAsia="zh-CN" w:bidi="ar"/>
              </w:rPr>
              <w:t>投料</w:t>
            </w:r>
            <w:r>
              <w:rPr>
                <w:rFonts w:hint="default" w:ascii="Times New Roman" w:hAnsi="Times New Roman" w:eastAsia="宋体" w:cs="Times New Roman"/>
                <w:color w:val="auto"/>
                <w:sz w:val="24"/>
                <w:szCs w:val="24"/>
                <w:lang w:bidi="ar"/>
              </w:rPr>
              <w:t>污染源产生的</w:t>
            </w:r>
            <w:r>
              <w:rPr>
                <w:rFonts w:hint="default" w:ascii="Times New Roman" w:hAnsi="Times New Roman" w:eastAsia="宋体" w:cs="Times New Roman"/>
                <w:color w:val="auto"/>
                <w:sz w:val="24"/>
                <w:szCs w:val="24"/>
                <w:lang w:val="en-US" w:eastAsia="zh-CN" w:bidi="ar"/>
              </w:rPr>
              <w:t>粉尘</w:t>
            </w:r>
            <w:r>
              <w:rPr>
                <w:rFonts w:hint="default" w:ascii="Times New Roman" w:hAnsi="Times New Roman" w:eastAsia="宋体" w:cs="Times New Roman"/>
                <w:color w:val="auto"/>
                <w:sz w:val="24"/>
                <w:szCs w:val="24"/>
                <w:lang w:bidi="ar"/>
              </w:rPr>
              <w:t>采取</w:t>
            </w:r>
            <w:r>
              <w:rPr>
                <w:rFonts w:hint="default" w:ascii="Times New Roman" w:hAnsi="Times New Roman" w:eastAsia="宋体" w:cs="Times New Roman"/>
                <w:color w:val="auto"/>
                <w:sz w:val="24"/>
                <w:szCs w:val="24"/>
                <w:lang w:val="en-US" w:eastAsia="zh-CN" w:bidi="ar"/>
              </w:rPr>
              <w:t>布袋除尘器处理，</w:t>
            </w:r>
            <w:r>
              <w:rPr>
                <w:rFonts w:hint="default" w:ascii="Times New Roman" w:hAnsi="Times New Roman" w:eastAsia="宋体" w:cs="Times New Roman"/>
                <w:color w:val="auto"/>
                <w:sz w:val="24"/>
                <w:szCs w:val="24"/>
                <w:lang w:bidi="ar"/>
              </w:rPr>
              <w:t>属于《排污许可证申请与核发技术规范 橡胶和塑料制品工业</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z w:val="24"/>
                <w:szCs w:val="24"/>
                <w:lang w:val="en-US" w:eastAsia="zh-CN"/>
              </w:rPr>
              <w:t>1122-</w:t>
            </w: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bidi="ar"/>
              </w:rPr>
              <w:t>里推荐的可行技术。</w:t>
            </w:r>
          </w:p>
          <w:p w14:paraId="3E6951EF">
            <w:pPr>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color w:val="auto"/>
                <w:spacing w:val="0"/>
                <w:sz w:val="24"/>
                <w:szCs w:val="24"/>
                <w:highlight w:val="none"/>
                <w:lang w:eastAsia="zh-CN"/>
              </w:rPr>
              <w:t>布袋除尘器属于技术成熟的干式高效除尘设备，根据《袋式除尘器的除尘效率研究》（西南交通大学，周军）中对于国内外工业企业布袋除尘器除尘效率的研究，普通布袋除尘器对1μm以上的尘粒，其稳态过滤效率可达99%以上，对0.4μm~1μm的微细粉尘的稳态过滤效率可达98%以上。</w:t>
            </w:r>
            <w:r>
              <w:rPr>
                <w:rFonts w:hint="default" w:ascii="Times New Roman" w:hAnsi="Times New Roman" w:eastAsia="宋体" w:cs="Times New Roman"/>
                <w:b w:val="0"/>
                <w:bCs w:val="0"/>
                <w:color w:val="auto"/>
                <w:sz w:val="24"/>
                <w:szCs w:val="24"/>
                <w:lang w:val="en-US" w:eastAsia="zh-CN"/>
              </w:rPr>
              <w:t>本项目布袋除尘器处理效率保守取95%可行。</w:t>
            </w:r>
          </w:p>
          <w:p w14:paraId="68D40797">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color w:val="auto"/>
                <w:sz w:val="24"/>
                <w:highlight w:val="none"/>
                <w:lang w:val="en-US" w:eastAsia="zh-CN"/>
              </w:rPr>
            </w:pPr>
            <w:r>
              <w:rPr>
                <w:rFonts w:hint="eastAsia" w:cs="Times New Roman"/>
                <w:color w:val="auto"/>
                <w:sz w:val="24"/>
                <w:szCs w:val="24"/>
                <w:lang w:val="en-US" w:eastAsia="zh-CN" w:bidi="ar"/>
              </w:rPr>
              <w:t>（3）</w:t>
            </w:r>
            <w:r>
              <w:rPr>
                <w:rFonts w:hint="default" w:ascii="Times New Roman" w:hAnsi="Times New Roman" w:eastAsia="宋体" w:cs="Times New Roman"/>
                <w:b w:val="0"/>
                <w:bCs/>
                <w:color w:val="auto"/>
                <w:spacing w:val="0"/>
                <w:sz w:val="24"/>
                <w:szCs w:val="24"/>
                <w:highlight w:val="none"/>
                <w:lang w:eastAsia="zh-CN"/>
              </w:rPr>
              <w:t>除尘器</w:t>
            </w:r>
            <w:r>
              <w:rPr>
                <w:rFonts w:hint="default" w:ascii="Times New Roman" w:hAnsi="Times New Roman" w:eastAsia="宋体" w:cs="Times New Roman"/>
                <w:b w:val="0"/>
                <w:bCs/>
                <w:color w:val="auto"/>
                <w:sz w:val="24"/>
                <w:highlight w:val="none"/>
                <w:lang w:val="en-US" w:eastAsia="zh-CN"/>
              </w:rPr>
              <w:t>装置安全设置要求：</w:t>
            </w:r>
          </w:p>
          <w:p w14:paraId="79558549">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按照《粉尘防爆安全规程》（GB15577-2018）、《粉尘爆炸危险场所用除尘系统安全技术规范》（AQ4273-2016）、《涂装作业安全规程 粉末静电喷涂工艺安全》（GB15607-2008）、《粉尘爆炸危险场所用收尘器防爆导则》（GB17919-2008）安全设置规定，本项目对除尘器装置提出以下要求：</w:t>
            </w:r>
          </w:p>
          <w:p w14:paraId="403C0D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①粉尘爆炸危险场所除尘系统不应与带有可燃气体、高温气体或其他工业气体的风管及设备连通。</w:t>
            </w:r>
          </w:p>
          <w:p w14:paraId="52B5F8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②应按工艺分片（分区域）设置相对独立的除尘系统。</w:t>
            </w:r>
          </w:p>
          <w:p w14:paraId="1C41C7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③除尘器宜布置在厂房建筑物外部。如干式除尘器安装在厂房内，应安装在厂房内的建筑物外墙处的单独房间内。</w:t>
            </w:r>
          </w:p>
          <w:p w14:paraId="37BDA3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④干式除尘器应设置锁气卸灰装置，及时清卸灰仓内的积灰，设置卸灰装置运行异常及故障停机的监控装置，出现异常及故障停机状况时应发出声光报警信号。</w:t>
            </w:r>
          </w:p>
          <w:p w14:paraId="375B938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⑤干式除尘系统采取预防和控制粉尘爆炸的措施，选用一种或多种防爆装置：泄爆装 置、惰化装置、隔爆装置、 抑爆装置。</w:t>
            </w:r>
          </w:p>
          <w:p w14:paraId="5174F7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⑥除尘器应设置进、出口风压差监测报警装置，除尘器安装或滤袋更换在不超过8h的使用期内应记录除尘器的进、出口风压的监测数值，当进、出口风压力变化大于允许值的20%时，监测装置应发出声光报警信号。</w:t>
            </w:r>
          </w:p>
          <w:p w14:paraId="7C05BA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⑦袋式外滤除尘器设置清灰压力监测报警装置，当清灰压力低于设定值时应发出声光报警信号。</w:t>
            </w:r>
          </w:p>
          <w:p w14:paraId="5C919C1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⑧风机后串联二级袋式除尘器，而且为自动喷涂，则机应选择防爆型。</w:t>
            </w:r>
          </w:p>
          <w:p w14:paraId="2F7678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⑨与喷粉室相连的粉末回收装置以及高效过滤器应设置能将爆炸压力引向安全位置的泄压装置；连续自动喷粉作业的回收系统应配备风量监测器，当风量低于安全值时，喷粉装置能自动停止喷粉。</w:t>
            </w:r>
          </w:p>
          <w:p w14:paraId="7AA422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⑩在回收、净化装置的卸料口及卸料过程中，应有防止粉尘飞逸的措施。</w:t>
            </w:r>
          </w:p>
          <w:p w14:paraId="79B909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⑪收尘器如安装于室内，其泄爆管应直通室外，且长度小于3m，并根据粉尘属性确定是否设立隔（阻）爆装置；在收尘器进、出风口处宜设置隔离阀，并安装温度监控装置；滤料应具备阻燃性能。</w:t>
            </w:r>
          </w:p>
          <w:p w14:paraId="6AE33501">
            <w:pPr>
              <w:numPr>
                <w:ilvl w:val="0"/>
                <w:numId w:val="0"/>
              </w:numPr>
              <w:ind w:firstLine="480" w:firstLineChars="200"/>
              <w:rPr>
                <w:rFonts w:hint="eastAsia" w:cs="Times New Roman"/>
                <w:color w:val="auto"/>
                <w:sz w:val="24"/>
                <w:szCs w:val="24"/>
                <w:lang w:val="en-US" w:eastAsia="zh-CN" w:bidi="ar"/>
              </w:rPr>
            </w:pPr>
            <w:r>
              <w:rPr>
                <w:rFonts w:hint="default" w:ascii="Times New Roman" w:hAnsi="Times New Roman" w:eastAsia="宋体" w:cs="Times New Roman"/>
                <w:b w:val="0"/>
                <w:bCs w:val="0"/>
                <w:color w:val="auto"/>
                <w:sz w:val="24"/>
                <w:highlight w:val="none"/>
                <w:lang w:val="en-US" w:eastAsia="zh-CN"/>
              </w:rPr>
              <w:t>⑫收尘器的下列参数进行监测：进、出口风压差；进、出风口和灰斗的温度；出现下列故障时应予报警：进、出风口压差过高；温度异常升高。</w:t>
            </w:r>
          </w:p>
          <w:p w14:paraId="53B12E5F">
            <w:pPr>
              <w:numPr>
                <w:ilvl w:val="0"/>
                <w:numId w:val="0"/>
              </w:numPr>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bidi="ar"/>
              </w:rPr>
              <w:t>2、二级活性炭吸附装置</w:t>
            </w:r>
          </w:p>
          <w:p w14:paraId="02BAC82E">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ind w:firstLine="42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val="en-US" w:eastAsia="zh-CN" w:bidi="ar"/>
              </w:rPr>
              <w:t>1</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处理工艺</w:t>
            </w:r>
          </w:p>
          <w:p w14:paraId="05BA998D">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活性炭是一种黑色粉状，粒状或丸状或无定形具有多孔的碳。主要成分为碳，还含少量氧、氢、硫、氮、氯。其主要有木材、果壳、煤等经过高温活化而成。碳元素是自然界最稳定的元素，活性炭亦有这一特点。活性炭内孔隙结构发达，具有较大的表面积（500～1000</w:t>
            </w:r>
            <w:r>
              <w:rPr>
                <w:rFonts w:hint="default" w:ascii="Times New Roman" w:hAnsi="Times New Roman" w:eastAsia="宋体" w:cs="Times New Roman"/>
                <w:b w:val="0"/>
                <w:bCs w:val="0"/>
                <w:color w:val="auto"/>
                <w:sz w:val="24"/>
                <w:szCs w:val="24"/>
                <w:lang w:val="en-US" w:eastAsia="zh-CN"/>
              </w:rPr>
              <w:t>m</w:t>
            </w:r>
            <w:r>
              <w:rPr>
                <w:rFonts w:hint="default" w:ascii="Times New Roman" w:hAnsi="Times New Roman" w:eastAsia="宋体" w:cs="Times New Roman"/>
                <w:b w:val="0"/>
                <w:bCs w:val="0"/>
                <w:color w:val="auto"/>
                <w:sz w:val="24"/>
                <w:szCs w:val="24"/>
                <w:vertAlign w:val="superscript"/>
                <w:lang w:val="en-US" w:eastAsia="zh-CN"/>
              </w:rPr>
              <w:t>2</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g）</w:t>
            </w:r>
            <w:r>
              <w:rPr>
                <w:rFonts w:hint="default" w:ascii="Times New Roman" w:hAnsi="Times New Roman" w:eastAsia="宋体" w:cs="Times New Roman"/>
                <w:b w:val="0"/>
                <w:bCs w:val="0"/>
                <w:color w:val="auto"/>
                <w:sz w:val="24"/>
                <w:szCs w:val="24"/>
              </w:rPr>
              <w:t>，甚至更高，有很强的物理吸附性能，能吸附气体、液体或胶态固体。在吸附过程中，当活性炭分子和污染物分子之间的作用力是范德华力（或静电引力</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时称为物理吸附；当活性炭分子和污染物分子之间的作用力是化学键时称为化学吸附。物理吸附的吸附强度主要与活性炭的物理性质有关，与活性炭的化学性质基本无关。由于范德华力较弱，对污染物分子的结构影响不大，这种力与分子间内聚力一样，故可把物理吸附类比为凝聚现象。物理吸附时污染物的化学性质仍然保持不变。</w:t>
            </w:r>
          </w:p>
          <w:p w14:paraId="569369A5">
            <w:pPr>
              <w:ind w:firstLine="480" w:firstLineChars="20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活性炭吸附塔是一种干式废气处理设备，由箱体和填装在箱体内的吸附单元组成。活性炭吸附塔主要用于大风量低浓度的有机废气处理；活性炭吸附剂可处理净化多种有机和无机污染物：苯类、酮类、醇类、醚类、烷类及其混合类有机废气，单级活性炭吸附效率达到70%，二级活性炭吸附效率可达到90%。</w:t>
            </w:r>
          </w:p>
          <w:p w14:paraId="2C8B4E00">
            <w:pPr>
              <w:pStyle w:val="54"/>
              <w:ind w:firstLine="480" w:firstLineChars="200"/>
              <w:rPr>
                <w:rFonts w:hint="default" w:ascii="Times New Roman" w:hAnsi="Times New Roman" w:eastAsia="宋体" w:cs="Times New Roman"/>
                <w:b w:val="0"/>
                <w:bCs/>
                <w:color w:val="auto"/>
                <w:kern w:val="2"/>
                <w:sz w:val="24"/>
                <w:szCs w:val="24"/>
                <w:lang w:val="en-US" w:eastAsia="zh-CN" w:bidi="ar"/>
              </w:rPr>
            </w:pPr>
            <w:r>
              <w:rPr>
                <w:rFonts w:hint="default" w:ascii="Times New Roman" w:hAnsi="Times New Roman" w:eastAsia="宋体" w:cs="Times New Roman"/>
                <w:b w:val="0"/>
                <w:bCs/>
                <w:color w:val="auto"/>
                <w:kern w:val="2"/>
                <w:sz w:val="24"/>
                <w:szCs w:val="24"/>
                <w:lang w:val="en-US" w:eastAsia="zh-CN" w:bidi="ar"/>
              </w:rPr>
              <w:t>二级活性炭吸附装置设计参数详见表4.2-6。</w:t>
            </w:r>
          </w:p>
          <w:p w14:paraId="7B6A66A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smallCaps w:val="0"/>
                <w:snapToGrid w:val="0"/>
                <w:color w:val="auto"/>
                <w:spacing w:val="0"/>
                <w:kern w:val="0"/>
                <w:sz w:val="21"/>
                <w:szCs w:val="21"/>
              </w:rPr>
            </w:pPr>
            <w:r>
              <w:rPr>
                <w:rFonts w:hint="default" w:ascii="Times New Roman" w:hAnsi="Times New Roman" w:eastAsia="宋体" w:cs="Times New Roman"/>
                <w:b/>
                <w:bCs/>
                <w:smallCaps w:val="0"/>
                <w:snapToGrid w:val="0"/>
                <w:color w:val="auto"/>
                <w:spacing w:val="0"/>
                <w:kern w:val="0"/>
                <w:sz w:val="21"/>
                <w:szCs w:val="21"/>
              </w:rPr>
              <w:t>表4</w:t>
            </w:r>
            <w:r>
              <w:rPr>
                <w:rFonts w:hint="default" w:ascii="Times New Roman" w:hAnsi="Times New Roman" w:eastAsia="宋体" w:cs="Times New Roman"/>
                <w:b/>
                <w:bCs/>
                <w:smallCaps w:val="0"/>
                <w:snapToGrid w:val="0"/>
                <w:color w:val="auto"/>
                <w:spacing w:val="0"/>
                <w:kern w:val="0"/>
                <w:sz w:val="21"/>
                <w:szCs w:val="21"/>
                <w:lang w:val="en-US" w:eastAsia="zh-CN"/>
              </w:rPr>
              <w:t>.2</w:t>
            </w:r>
            <w:r>
              <w:rPr>
                <w:rFonts w:hint="default" w:ascii="Times New Roman" w:hAnsi="Times New Roman" w:eastAsia="宋体" w:cs="Times New Roman"/>
                <w:b/>
                <w:bCs/>
                <w:smallCaps w:val="0"/>
                <w:snapToGrid w:val="0"/>
                <w:color w:val="auto"/>
                <w:spacing w:val="0"/>
                <w:kern w:val="0"/>
                <w:sz w:val="21"/>
                <w:szCs w:val="21"/>
              </w:rPr>
              <w:t>-</w:t>
            </w:r>
            <w:r>
              <w:rPr>
                <w:rFonts w:hint="default" w:ascii="Times New Roman" w:hAnsi="Times New Roman" w:eastAsia="宋体" w:cs="Times New Roman"/>
                <w:b/>
                <w:bCs/>
                <w:smallCaps w:val="0"/>
                <w:snapToGrid w:val="0"/>
                <w:color w:val="auto"/>
                <w:spacing w:val="0"/>
                <w:kern w:val="0"/>
                <w:sz w:val="21"/>
                <w:szCs w:val="21"/>
                <w:lang w:val="en-US" w:eastAsia="zh-CN"/>
              </w:rPr>
              <w:t>6</w:t>
            </w:r>
            <w:r>
              <w:rPr>
                <w:rFonts w:hint="default" w:ascii="Times New Roman" w:hAnsi="Times New Roman" w:eastAsia="宋体" w:cs="Times New Roman"/>
                <w:b/>
                <w:bCs/>
                <w:smallCaps w:val="0"/>
                <w:snapToGrid w:val="0"/>
                <w:color w:val="auto"/>
                <w:spacing w:val="0"/>
                <w:kern w:val="0"/>
                <w:sz w:val="21"/>
                <w:szCs w:val="21"/>
              </w:rPr>
              <w:t xml:space="preserve"> 设计理论参数</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66"/>
              <w:gridCol w:w="2368"/>
              <w:gridCol w:w="3424"/>
              <w:gridCol w:w="3068"/>
            </w:tblGrid>
            <w:tr w14:paraId="3D503B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198" w:type="pct"/>
                  <w:tcBorders>
                    <w:bottom w:val="single" w:color="auto" w:sz="12" w:space="0"/>
                  </w:tcBorders>
                  <w:shd w:val="clear" w:color="auto" w:fill="FFFFFF"/>
                  <w:noWrap/>
                  <w:vAlign w:val="center"/>
                </w:tcPr>
                <w:p w14:paraId="63B8528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highlight w:val="none"/>
                    </w:rPr>
                  </w:pPr>
                  <w:r>
                    <w:rPr>
                      <w:rFonts w:hint="default" w:ascii="Times New Roman" w:hAnsi="Times New Roman" w:eastAsia="宋体" w:cs="Times New Roman"/>
                      <w:b/>
                      <w:bCs/>
                      <w:snapToGrid w:val="0"/>
                      <w:color w:val="auto"/>
                      <w:kern w:val="0"/>
                      <w:sz w:val="21"/>
                      <w:szCs w:val="21"/>
                      <w:highlight w:val="none"/>
                    </w:rPr>
                    <w:t>序号</w:t>
                  </w:r>
                </w:p>
              </w:tc>
              <w:tc>
                <w:tcPr>
                  <w:tcW w:w="1283" w:type="pct"/>
                  <w:tcBorders>
                    <w:bottom w:val="single" w:color="auto" w:sz="12" w:space="0"/>
                  </w:tcBorders>
                  <w:shd w:val="clear" w:color="auto" w:fill="FFFFFF"/>
                  <w:noWrap/>
                  <w:vAlign w:val="center"/>
                </w:tcPr>
                <w:p w14:paraId="0D45F19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highlight w:val="none"/>
                    </w:rPr>
                  </w:pPr>
                  <w:r>
                    <w:rPr>
                      <w:rFonts w:hint="default" w:ascii="Times New Roman" w:hAnsi="Times New Roman" w:eastAsia="宋体" w:cs="Times New Roman"/>
                      <w:b/>
                      <w:bCs/>
                      <w:snapToGrid w:val="0"/>
                      <w:color w:val="auto"/>
                      <w:kern w:val="0"/>
                      <w:sz w:val="21"/>
                      <w:szCs w:val="21"/>
                      <w:highlight w:val="none"/>
                    </w:rPr>
                    <w:t>名    称</w:t>
                  </w:r>
                </w:p>
              </w:tc>
              <w:tc>
                <w:tcPr>
                  <w:tcW w:w="1855" w:type="pct"/>
                  <w:tcBorders>
                    <w:bottom w:val="single" w:color="auto" w:sz="12" w:space="0"/>
                  </w:tcBorders>
                  <w:shd w:val="clear" w:color="auto" w:fill="FFFFFF"/>
                  <w:noWrap/>
                  <w:vAlign w:val="center"/>
                </w:tcPr>
                <w:p w14:paraId="607FD0B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highlight w:val="none"/>
                    </w:rPr>
                  </w:pPr>
                  <w:r>
                    <w:rPr>
                      <w:rFonts w:hint="default" w:ascii="Times New Roman" w:hAnsi="Times New Roman" w:eastAsia="宋体" w:cs="Times New Roman"/>
                      <w:b/>
                      <w:bCs/>
                      <w:snapToGrid w:val="0"/>
                      <w:color w:val="auto"/>
                      <w:kern w:val="0"/>
                      <w:sz w:val="21"/>
                      <w:szCs w:val="21"/>
                      <w:highlight w:val="none"/>
                    </w:rPr>
                    <w:t>技术参数</w:t>
                  </w:r>
                </w:p>
              </w:tc>
              <w:tc>
                <w:tcPr>
                  <w:tcW w:w="1662" w:type="pct"/>
                  <w:tcBorders>
                    <w:bottom w:val="single" w:color="auto" w:sz="12" w:space="0"/>
                  </w:tcBorders>
                  <w:shd w:val="clear" w:color="auto" w:fill="FFFFFF"/>
                  <w:noWrap/>
                  <w:vAlign w:val="center"/>
                </w:tcPr>
                <w:p w14:paraId="78C33EF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snapToGrid w:val="0"/>
                      <w:color w:val="auto"/>
                      <w:kern w:val="0"/>
                      <w:sz w:val="21"/>
                      <w:szCs w:val="21"/>
                      <w:highlight w:val="none"/>
                    </w:rPr>
                  </w:pPr>
                  <w:r>
                    <w:rPr>
                      <w:rFonts w:hint="default" w:ascii="Times New Roman" w:hAnsi="Times New Roman" w:eastAsia="宋体" w:cs="Times New Roman"/>
                      <w:b/>
                      <w:bCs/>
                      <w:snapToGrid w:val="0"/>
                      <w:color w:val="auto"/>
                      <w:kern w:val="0"/>
                      <w:sz w:val="21"/>
                      <w:szCs w:val="21"/>
                      <w:highlight w:val="none"/>
                    </w:rPr>
                    <w:t>HJ2026-2013及DB32/T5030-2025要求</w:t>
                  </w:r>
                </w:p>
              </w:tc>
            </w:tr>
            <w:tr w14:paraId="1E3F7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op w:val="single" w:color="auto" w:sz="12" w:space="0"/>
                    <w:tl2br w:val="nil"/>
                    <w:tr2bl w:val="nil"/>
                  </w:tcBorders>
                  <w:noWrap/>
                  <w:vAlign w:val="center"/>
                </w:tcPr>
                <w:p w14:paraId="549D5F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w:t>
                  </w:r>
                </w:p>
              </w:tc>
              <w:tc>
                <w:tcPr>
                  <w:tcW w:w="1283" w:type="pct"/>
                  <w:tcBorders>
                    <w:top w:val="single" w:color="auto" w:sz="12" w:space="0"/>
                    <w:tl2br w:val="nil"/>
                    <w:tr2bl w:val="nil"/>
                  </w:tcBorders>
                  <w:noWrap/>
                  <w:vAlign w:val="center"/>
                </w:tcPr>
                <w:p w14:paraId="5CDFC69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废气净化方式</w:t>
                  </w:r>
                </w:p>
              </w:tc>
              <w:tc>
                <w:tcPr>
                  <w:tcW w:w="1855" w:type="pct"/>
                  <w:tcBorders>
                    <w:top w:val="single" w:color="auto" w:sz="12" w:space="0"/>
                    <w:tl2br w:val="nil"/>
                    <w:tr2bl w:val="nil"/>
                  </w:tcBorders>
                  <w:noWrap/>
                  <w:vAlign w:val="center"/>
                </w:tcPr>
                <w:p w14:paraId="30955DB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活性炭吸附处理</w:t>
                  </w:r>
                </w:p>
              </w:tc>
              <w:tc>
                <w:tcPr>
                  <w:tcW w:w="1662" w:type="pct"/>
                  <w:tcBorders>
                    <w:top w:val="single" w:color="auto" w:sz="12" w:space="0"/>
                    <w:tl2br w:val="nil"/>
                    <w:tr2bl w:val="nil"/>
                  </w:tcBorders>
                  <w:noWrap/>
                  <w:vAlign w:val="center"/>
                </w:tcPr>
                <w:p w14:paraId="3CDEF9C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6A144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6D797CF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2</w:t>
                  </w:r>
                </w:p>
              </w:tc>
              <w:tc>
                <w:tcPr>
                  <w:tcW w:w="1283" w:type="pct"/>
                  <w:tcBorders>
                    <w:tl2br w:val="nil"/>
                    <w:tr2bl w:val="nil"/>
                  </w:tcBorders>
                  <w:noWrap/>
                  <w:vAlign w:val="center"/>
                </w:tcPr>
                <w:p w14:paraId="4895260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风量</w:t>
                  </w:r>
                </w:p>
              </w:tc>
              <w:tc>
                <w:tcPr>
                  <w:tcW w:w="1855" w:type="pct"/>
                  <w:tcBorders>
                    <w:tl2br w:val="nil"/>
                    <w:tr2bl w:val="nil"/>
                  </w:tcBorders>
                  <w:noWrap/>
                  <w:vAlign w:val="center"/>
                </w:tcPr>
                <w:p w14:paraId="27B3BA9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eastAsia" w:cs="Times New Roman"/>
                      <w:snapToGrid w:val="0"/>
                      <w:color w:val="auto"/>
                      <w:kern w:val="0"/>
                      <w:sz w:val="21"/>
                      <w:szCs w:val="21"/>
                      <w:highlight w:val="none"/>
                      <w:lang w:val="en-US" w:eastAsia="zh-CN"/>
                    </w:rPr>
                    <w:t>7</w:t>
                  </w:r>
                  <w:r>
                    <w:rPr>
                      <w:rFonts w:hint="default" w:ascii="Times New Roman" w:hAnsi="Times New Roman" w:eastAsia="宋体" w:cs="Times New Roman"/>
                      <w:snapToGrid w:val="0"/>
                      <w:color w:val="auto"/>
                      <w:kern w:val="0"/>
                      <w:sz w:val="21"/>
                      <w:szCs w:val="21"/>
                      <w:highlight w:val="none"/>
                      <w:lang w:val="en-US" w:eastAsia="zh-CN"/>
                    </w:rPr>
                    <w:t>0</w:t>
                  </w:r>
                  <w:r>
                    <w:rPr>
                      <w:rFonts w:hint="default" w:ascii="Times New Roman" w:hAnsi="Times New Roman" w:eastAsia="宋体" w:cs="Times New Roman"/>
                      <w:snapToGrid w:val="0"/>
                      <w:color w:val="auto"/>
                      <w:kern w:val="0"/>
                      <w:sz w:val="21"/>
                      <w:szCs w:val="21"/>
                      <w:highlight w:val="none"/>
                    </w:rPr>
                    <w:t>00m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/h</w:t>
                  </w:r>
                </w:p>
              </w:tc>
              <w:tc>
                <w:tcPr>
                  <w:tcW w:w="1662" w:type="pct"/>
                  <w:tcBorders>
                    <w:tl2br w:val="nil"/>
                    <w:tr2bl w:val="nil"/>
                  </w:tcBorders>
                  <w:noWrap/>
                  <w:vAlign w:val="center"/>
                </w:tcPr>
                <w:p w14:paraId="5B337F6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4C865A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30CB65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3</w:t>
                  </w:r>
                </w:p>
              </w:tc>
              <w:tc>
                <w:tcPr>
                  <w:tcW w:w="1283" w:type="pct"/>
                  <w:tcBorders>
                    <w:tl2br w:val="nil"/>
                    <w:tr2bl w:val="nil"/>
                  </w:tcBorders>
                  <w:noWrap/>
                  <w:vAlign w:val="center"/>
                </w:tcPr>
                <w:p w14:paraId="6ECF33E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废气温度</w:t>
                  </w:r>
                </w:p>
              </w:tc>
              <w:tc>
                <w:tcPr>
                  <w:tcW w:w="1855" w:type="pct"/>
                  <w:tcBorders>
                    <w:tl2br w:val="nil"/>
                    <w:tr2bl w:val="nil"/>
                  </w:tcBorders>
                  <w:noWrap/>
                  <w:vAlign w:val="center"/>
                </w:tcPr>
                <w:p w14:paraId="171ECFF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≤40℃</w:t>
                  </w:r>
                </w:p>
              </w:tc>
              <w:tc>
                <w:tcPr>
                  <w:tcW w:w="1662" w:type="pct"/>
                  <w:tcBorders>
                    <w:tl2br w:val="nil"/>
                    <w:tr2bl w:val="nil"/>
                  </w:tcBorders>
                  <w:noWrap/>
                  <w:vAlign w:val="center"/>
                </w:tcPr>
                <w:p w14:paraId="5688F28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32211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25B55C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4</w:t>
                  </w:r>
                </w:p>
              </w:tc>
              <w:tc>
                <w:tcPr>
                  <w:tcW w:w="1283" w:type="pct"/>
                  <w:tcBorders>
                    <w:tl2br w:val="nil"/>
                    <w:tr2bl w:val="nil"/>
                  </w:tcBorders>
                  <w:noWrap/>
                  <w:vAlign w:val="center"/>
                </w:tcPr>
                <w:p w14:paraId="44B6DB2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活性炭安装方式</w:t>
                  </w:r>
                </w:p>
              </w:tc>
              <w:tc>
                <w:tcPr>
                  <w:tcW w:w="1855" w:type="pct"/>
                  <w:tcBorders>
                    <w:tl2br w:val="nil"/>
                    <w:tr2bl w:val="nil"/>
                  </w:tcBorders>
                  <w:noWrap/>
                  <w:vAlign w:val="center"/>
                </w:tcPr>
                <w:p w14:paraId="5FA98BA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rPr>
                    <w:t>抽屉</w:t>
                  </w:r>
                  <w:r>
                    <w:rPr>
                      <w:rFonts w:hint="default" w:ascii="Times New Roman" w:hAnsi="Times New Roman" w:eastAsia="宋体" w:cs="Times New Roman"/>
                      <w:snapToGrid w:val="0"/>
                      <w:color w:val="auto"/>
                      <w:kern w:val="0"/>
                      <w:sz w:val="21"/>
                      <w:szCs w:val="21"/>
                      <w:highlight w:val="none"/>
                    </w:rPr>
                    <w:t>式，由活性炭、活性炭托盘、箱体组成</w:t>
                  </w:r>
                </w:p>
              </w:tc>
              <w:tc>
                <w:tcPr>
                  <w:tcW w:w="1662" w:type="pct"/>
                  <w:tcBorders>
                    <w:tl2br w:val="nil"/>
                    <w:tr2bl w:val="nil"/>
                  </w:tcBorders>
                  <w:noWrap/>
                  <w:vAlign w:val="center"/>
                </w:tcPr>
                <w:p w14:paraId="5B16926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73474A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086583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5</w:t>
                  </w:r>
                </w:p>
              </w:tc>
              <w:tc>
                <w:tcPr>
                  <w:tcW w:w="1283" w:type="pct"/>
                  <w:tcBorders>
                    <w:tl2br w:val="nil"/>
                    <w:tr2bl w:val="nil"/>
                  </w:tcBorders>
                  <w:noWrap/>
                  <w:vAlign w:val="center"/>
                </w:tcPr>
                <w:p w14:paraId="15B141C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箱体规格（长度×宽度×高度）</w:t>
                  </w:r>
                </w:p>
              </w:tc>
              <w:tc>
                <w:tcPr>
                  <w:tcW w:w="1855" w:type="pct"/>
                  <w:tcBorders>
                    <w:tl2br w:val="nil"/>
                    <w:tr2bl w:val="nil"/>
                  </w:tcBorders>
                  <w:noWrap/>
                  <w:vAlign w:val="center"/>
                </w:tcPr>
                <w:p w14:paraId="62D32F26">
                  <w:pPr>
                    <w:keepNext w:val="0"/>
                    <w:keepLines w:val="0"/>
                    <w:widowControl/>
                    <w:suppressLineNumbers w:val="0"/>
                    <w:adjustRightInd w:val="0"/>
                    <w:snapToGrid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rPr>
                    <w:t>1.0</w:t>
                  </w:r>
                  <w:r>
                    <w:rPr>
                      <w:rFonts w:hint="default" w:ascii="Times New Roman" w:hAnsi="Times New Roman" w:eastAsia="宋体" w:cs="Times New Roman"/>
                      <w:snapToGrid w:val="0"/>
                      <w:color w:val="auto"/>
                      <w:kern w:val="0"/>
                      <w:sz w:val="21"/>
                      <w:szCs w:val="21"/>
                      <w:highlight w:val="none"/>
                    </w:rPr>
                    <w:t>m×</w:t>
                  </w:r>
                  <w:r>
                    <w:rPr>
                      <w:rFonts w:hint="default" w:ascii="Times New Roman" w:hAnsi="Times New Roman" w:eastAsia="宋体" w:cs="Times New Roman"/>
                      <w:snapToGrid w:val="0"/>
                      <w:color w:val="auto"/>
                      <w:kern w:val="0"/>
                      <w:sz w:val="21"/>
                      <w:szCs w:val="21"/>
                      <w:highlight w:val="none"/>
                      <w:lang w:val="en-US" w:eastAsia="zh-CN"/>
                    </w:rPr>
                    <w:t>2</w:t>
                  </w:r>
                  <w:r>
                    <w:rPr>
                      <w:rFonts w:hint="default" w:ascii="Times New Roman" w:hAnsi="Times New Roman" w:eastAsia="宋体" w:cs="Times New Roman"/>
                      <w:snapToGrid w:val="0"/>
                      <w:color w:val="auto"/>
                      <w:kern w:val="0"/>
                      <w:sz w:val="21"/>
                      <w:szCs w:val="21"/>
                      <w:highlight w:val="none"/>
                    </w:rPr>
                    <w:t>m×</w:t>
                  </w:r>
                  <w:r>
                    <w:rPr>
                      <w:rFonts w:hint="default" w:ascii="Times New Roman" w:hAnsi="Times New Roman" w:eastAsia="宋体" w:cs="Times New Roman"/>
                      <w:snapToGrid w:val="0"/>
                      <w:color w:val="auto"/>
                      <w:kern w:val="0"/>
                      <w:sz w:val="21"/>
                      <w:szCs w:val="21"/>
                      <w:highlight w:val="none"/>
                      <w:lang w:val="en-US" w:eastAsia="zh-CN"/>
                    </w:rPr>
                    <w:t>2.4</w:t>
                  </w:r>
                  <w:r>
                    <w:rPr>
                      <w:rFonts w:hint="default" w:ascii="Times New Roman" w:hAnsi="Times New Roman" w:eastAsia="宋体" w:cs="Times New Roman"/>
                      <w:snapToGrid w:val="0"/>
                      <w:color w:val="auto"/>
                      <w:kern w:val="0"/>
                      <w:sz w:val="21"/>
                      <w:szCs w:val="21"/>
                      <w:highlight w:val="none"/>
                    </w:rPr>
                    <w:t>m</w:t>
                  </w:r>
                </w:p>
              </w:tc>
              <w:tc>
                <w:tcPr>
                  <w:tcW w:w="1662" w:type="pct"/>
                  <w:tcBorders>
                    <w:tl2br w:val="nil"/>
                    <w:tr2bl w:val="nil"/>
                  </w:tcBorders>
                  <w:noWrap/>
                  <w:vAlign w:val="center"/>
                </w:tcPr>
                <w:p w14:paraId="4B48759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60A59E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374AEA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bidi="ar-SA"/>
                    </w:rPr>
                    <w:t>6</w:t>
                  </w:r>
                </w:p>
              </w:tc>
              <w:tc>
                <w:tcPr>
                  <w:tcW w:w="1283" w:type="pct"/>
                  <w:tcBorders>
                    <w:tl2br w:val="nil"/>
                    <w:tr2bl w:val="nil"/>
                  </w:tcBorders>
                  <w:noWrap/>
                  <w:vAlign w:val="center"/>
                </w:tcPr>
                <w:p w14:paraId="7D159B5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活性炭类型</w:t>
                  </w:r>
                </w:p>
              </w:tc>
              <w:tc>
                <w:tcPr>
                  <w:tcW w:w="1855" w:type="pct"/>
                  <w:tcBorders>
                    <w:tl2br w:val="nil"/>
                    <w:tr2bl w:val="nil"/>
                  </w:tcBorders>
                  <w:noWrap/>
                  <w:vAlign w:val="center"/>
                </w:tcPr>
                <w:p w14:paraId="3F946D9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rPr>
                    <w:t>颗粒</w:t>
                  </w:r>
                  <w:r>
                    <w:rPr>
                      <w:rFonts w:hint="default" w:ascii="Times New Roman" w:hAnsi="Times New Roman" w:eastAsia="宋体" w:cs="Times New Roman"/>
                      <w:snapToGrid w:val="0"/>
                      <w:color w:val="auto"/>
                      <w:kern w:val="0"/>
                      <w:sz w:val="21"/>
                      <w:szCs w:val="21"/>
                      <w:highlight w:val="none"/>
                    </w:rPr>
                    <w:t>状活性炭</w:t>
                  </w:r>
                </w:p>
              </w:tc>
              <w:tc>
                <w:tcPr>
                  <w:tcW w:w="1662" w:type="pct"/>
                  <w:tcBorders>
                    <w:tl2br w:val="nil"/>
                    <w:tr2bl w:val="nil"/>
                  </w:tcBorders>
                  <w:noWrap/>
                  <w:vAlign w:val="center"/>
                </w:tcPr>
                <w:p w14:paraId="30DA4B76">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571C4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29D86B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7</w:t>
                  </w:r>
                </w:p>
              </w:tc>
              <w:tc>
                <w:tcPr>
                  <w:tcW w:w="1283" w:type="pct"/>
                  <w:tcBorders>
                    <w:tl2br w:val="nil"/>
                    <w:tr2bl w:val="nil"/>
                  </w:tcBorders>
                  <w:noWrap/>
                  <w:vAlign w:val="center"/>
                </w:tcPr>
                <w:p w14:paraId="74BBF46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比表面积（m</w:t>
                  </w:r>
                  <w:r>
                    <w:rPr>
                      <w:rFonts w:hint="default" w:ascii="Times New Roman" w:hAnsi="Times New Roman" w:eastAsia="宋体" w:cs="Times New Roman"/>
                      <w:snapToGrid w:val="0"/>
                      <w:color w:val="auto"/>
                      <w:kern w:val="0"/>
                      <w:sz w:val="21"/>
                      <w:szCs w:val="21"/>
                      <w:highlight w:val="none"/>
                      <w:vertAlign w:val="superscript"/>
                    </w:rPr>
                    <w:t>2</w:t>
                  </w:r>
                  <w:r>
                    <w:rPr>
                      <w:rFonts w:hint="default" w:ascii="Times New Roman" w:hAnsi="Times New Roman" w:eastAsia="宋体" w:cs="Times New Roman"/>
                      <w:snapToGrid w:val="0"/>
                      <w:color w:val="auto"/>
                      <w:kern w:val="0"/>
                      <w:sz w:val="21"/>
                      <w:szCs w:val="21"/>
                      <w:highlight w:val="none"/>
                    </w:rPr>
                    <w:t>/g）</w:t>
                  </w:r>
                </w:p>
              </w:tc>
              <w:tc>
                <w:tcPr>
                  <w:tcW w:w="1855" w:type="pct"/>
                  <w:tcBorders>
                    <w:tl2br w:val="nil"/>
                    <w:tr2bl w:val="nil"/>
                  </w:tcBorders>
                  <w:noWrap/>
                  <w:vAlign w:val="center"/>
                </w:tcPr>
                <w:p w14:paraId="1AAE9B5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900~1600</w:t>
                  </w:r>
                </w:p>
              </w:tc>
              <w:tc>
                <w:tcPr>
                  <w:tcW w:w="1662" w:type="pct"/>
                  <w:tcBorders>
                    <w:tl2br w:val="nil"/>
                    <w:tr2bl w:val="nil"/>
                  </w:tcBorders>
                  <w:noWrap/>
                  <w:vAlign w:val="center"/>
                </w:tcPr>
                <w:p w14:paraId="11C5C07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r>
                    <w:rPr>
                      <w:rFonts w:hint="default" w:ascii="Times New Roman" w:hAnsi="Times New Roman" w:eastAsia="宋体" w:cs="Times New Roman"/>
                      <w:snapToGrid w:val="0"/>
                      <w:color w:val="auto"/>
                      <w:kern w:val="0"/>
                      <w:sz w:val="21"/>
                      <w:szCs w:val="21"/>
                      <w:highlight w:val="none"/>
                      <w:lang w:val="en-US" w:eastAsia="zh-CN"/>
                    </w:rPr>
                    <w:t>8</w:t>
                  </w:r>
                  <w:r>
                    <w:rPr>
                      <w:rFonts w:hint="default" w:ascii="Times New Roman" w:hAnsi="Times New Roman" w:eastAsia="宋体" w:cs="Times New Roman"/>
                      <w:snapToGrid w:val="0"/>
                      <w:color w:val="auto"/>
                      <w:kern w:val="0"/>
                      <w:sz w:val="21"/>
                      <w:szCs w:val="21"/>
                      <w:highlight w:val="none"/>
                    </w:rPr>
                    <w:t>50</w:t>
                  </w:r>
                </w:p>
              </w:tc>
            </w:tr>
            <w:tr w14:paraId="568D0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37" w:hRule="atLeast"/>
                <w:jc w:val="center"/>
              </w:trPr>
              <w:tc>
                <w:tcPr>
                  <w:tcW w:w="198" w:type="pct"/>
                  <w:tcBorders>
                    <w:tl2br w:val="nil"/>
                    <w:tr2bl w:val="nil"/>
                  </w:tcBorders>
                  <w:noWrap/>
                  <w:vAlign w:val="center"/>
                </w:tcPr>
                <w:p w14:paraId="19D068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8</w:t>
                  </w:r>
                </w:p>
              </w:tc>
              <w:tc>
                <w:tcPr>
                  <w:tcW w:w="1283" w:type="pct"/>
                  <w:tcBorders>
                    <w:tl2br w:val="nil"/>
                    <w:tr2bl w:val="nil"/>
                  </w:tcBorders>
                  <w:noWrap/>
                  <w:vAlign w:val="center"/>
                </w:tcPr>
                <w:p w14:paraId="050006F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孔体积（cm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/g）</w:t>
                  </w:r>
                </w:p>
              </w:tc>
              <w:tc>
                <w:tcPr>
                  <w:tcW w:w="1855" w:type="pct"/>
                  <w:tcBorders>
                    <w:tl2br w:val="nil"/>
                    <w:tr2bl w:val="nil"/>
                  </w:tcBorders>
                  <w:noWrap/>
                  <w:vAlign w:val="center"/>
                </w:tcPr>
                <w:p w14:paraId="42DDB63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0.63</w:t>
                  </w:r>
                </w:p>
              </w:tc>
              <w:tc>
                <w:tcPr>
                  <w:tcW w:w="1662" w:type="pct"/>
                  <w:tcBorders>
                    <w:tl2br w:val="nil"/>
                    <w:tr2bl w:val="nil"/>
                  </w:tcBorders>
                  <w:noWrap/>
                  <w:vAlign w:val="center"/>
                </w:tcPr>
                <w:p w14:paraId="5EBC5B2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39FE2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6EB1ABA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9</w:t>
                  </w:r>
                </w:p>
              </w:tc>
              <w:tc>
                <w:tcPr>
                  <w:tcW w:w="1283" w:type="pct"/>
                  <w:tcBorders>
                    <w:tl2br w:val="nil"/>
                    <w:tr2bl w:val="nil"/>
                  </w:tcBorders>
                  <w:noWrap/>
                  <w:vAlign w:val="center"/>
                </w:tcPr>
                <w:p w14:paraId="500B980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活性炭密度（g/cm</w:t>
                  </w:r>
                  <w:r>
                    <w:rPr>
                      <w:rFonts w:hint="default" w:ascii="Times New Roman" w:hAnsi="Times New Roman" w:eastAsia="宋体" w:cs="Times New Roman"/>
                      <w:snapToGrid w:val="0"/>
                      <w:color w:val="auto"/>
                      <w:kern w:val="0"/>
                      <w:sz w:val="21"/>
                      <w:szCs w:val="21"/>
                      <w:highlight w:val="none"/>
                      <w:vertAlign w:val="superscript"/>
                    </w:rPr>
                    <w:t>3</w:t>
                  </w:r>
                  <w:r>
                    <w:rPr>
                      <w:rFonts w:hint="default" w:ascii="Times New Roman" w:hAnsi="Times New Roman" w:eastAsia="宋体" w:cs="Times New Roman"/>
                      <w:snapToGrid w:val="0"/>
                      <w:color w:val="auto"/>
                      <w:kern w:val="0"/>
                      <w:sz w:val="21"/>
                      <w:szCs w:val="21"/>
                      <w:highlight w:val="none"/>
                    </w:rPr>
                    <w:t>）</w:t>
                  </w:r>
                </w:p>
              </w:tc>
              <w:tc>
                <w:tcPr>
                  <w:tcW w:w="1855" w:type="pct"/>
                  <w:tcBorders>
                    <w:tl2br w:val="nil"/>
                    <w:tr2bl w:val="nil"/>
                  </w:tcBorders>
                  <w:noWrap/>
                  <w:vAlign w:val="center"/>
                </w:tcPr>
                <w:p w14:paraId="017EB1F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0.45</w:t>
                  </w:r>
                </w:p>
              </w:tc>
              <w:tc>
                <w:tcPr>
                  <w:tcW w:w="1662" w:type="pct"/>
                  <w:tcBorders>
                    <w:tl2br w:val="nil"/>
                    <w:tr2bl w:val="nil"/>
                  </w:tcBorders>
                  <w:noWrap/>
                  <w:vAlign w:val="center"/>
                </w:tcPr>
                <w:p w14:paraId="0764321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2C4DB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38C0F6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10</w:t>
                  </w:r>
                </w:p>
              </w:tc>
              <w:tc>
                <w:tcPr>
                  <w:tcW w:w="1283" w:type="pct"/>
                  <w:tcBorders>
                    <w:tl2br w:val="nil"/>
                    <w:tr2bl w:val="nil"/>
                  </w:tcBorders>
                  <w:noWrap/>
                  <w:vAlign w:val="center"/>
                </w:tcPr>
                <w:p w14:paraId="61C01F4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碘吸附值（mg/g）</w:t>
                  </w:r>
                </w:p>
              </w:tc>
              <w:tc>
                <w:tcPr>
                  <w:tcW w:w="1855" w:type="pct"/>
                  <w:tcBorders>
                    <w:tl2br w:val="nil"/>
                    <w:tr2bl w:val="nil"/>
                  </w:tcBorders>
                  <w:noWrap/>
                  <w:vAlign w:val="center"/>
                </w:tcPr>
                <w:p w14:paraId="798B1EA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800</w:t>
                  </w:r>
                </w:p>
              </w:tc>
              <w:tc>
                <w:tcPr>
                  <w:tcW w:w="1662" w:type="pct"/>
                  <w:tcBorders>
                    <w:tl2br w:val="nil"/>
                    <w:tr2bl w:val="nil"/>
                  </w:tcBorders>
                  <w:noWrap/>
                  <w:vAlign w:val="center"/>
                </w:tcPr>
                <w:p w14:paraId="495E8F6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r>
                    <w:rPr>
                      <w:rFonts w:hint="default" w:ascii="Times New Roman" w:hAnsi="Times New Roman" w:eastAsia="宋体" w:cs="Times New Roman"/>
                      <w:snapToGrid w:val="0"/>
                      <w:color w:val="auto"/>
                      <w:kern w:val="0"/>
                      <w:sz w:val="21"/>
                      <w:szCs w:val="21"/>
                      <w:highlight w:val="none"/>
                      <w:lang w:val="en-US" w:eastAsia="zh-CN"/>
                    </w:rPr>
                    <w:t>80</w:t>
                  </w:r>
                  <w:r>
                    <w:rPr>
                      <w:rFonts w:hint="default" w:ascii="Times New Roman" w:hAnsi="Times New Roman" w:eastAsia="宋体" w:cs="Times New Roman"/>
                      <w:snapToGrid w:val="0"/>
                      <w:color w:val="auto"/>
                      <w:kern w:val="0"/>
                      <w:sz w:val="21"/>
                      <w:szCs w:val="21"/>
                      <w:highlight w:val="none"/>
                    </w:rPr>
                    <w:t>0</w:t>
                  </w:r>
                </w:p>
              </w:tc>
            </w:tr>
            <w:tr w14:paraId="23413D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79C946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11</w:t>
                  </w:r>
                </w:p>
              </w:tc>
              <w:tc>
                <w:tcPr>
                  <w:tcW w:w="1283" w:type="pct"/>
                  <w:tcBorders>
                    <w:tl2br w:val="nil"/>
                    <w:tr2bl w:val="nil"/>
                  </w:tcBorders>
                  <w:noWrap/>
                  <w:vAlign w:val="center"/>
                </w:tcPr>
                <w:p w14:paraId="7A101FCC">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停留时间（s）</w:t>
                  </w:r>
                </w:p>
              </w:tc>
              <w:tc>
                <w:tcPr>
                  <w:tcW w:w="1855" w:type="pct"/>
                  <w:tcBorders>
                    <w:tl2br w:val="nil"/>
                    <w:tr2bl w:val="nil"/>
                  </w:tcBorders>
                  <w:noWrap/>
                  <w:vAlign w:val="center"/>
                </w:tcPr>
                <w:p w14:paraId="6F89745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4.3</w:t>
                  </w:r>
                </w:p>
              </w:tc>
              <w:tc>
                <w:tcPr>
                  <w:tcW w:w="1662" w:type="pct"/>
                  <w:tcBorders>
                    <w:tl2br w:val="nil"/>
                    <w:tr2bl w:val="nil"/>
                  </w:tcBorders>
                  <w:noWrap/>
                  <w:vAlign w:val="center"/>
                </w:tcPr>
                <w:p w14:paraId="7924D2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eastAsia="zh-CN"/>
                    </w:rPr>
                  </w:pPr>
                  <w:r>
                    <w:rPr>
                      <w:rFonts w:hint="default" w:ascii="Times New Roman" w:hAnsi="Times New Roman" w:eastAsia="宋体" w:cs="Times New Roman"/>
                      <w:snapToGrid w:val="0"/>
                      <w:color w:val="auto"/>
                      <w:kern w:val="0"/>
                      <w:sz w:val="21"/>
                      <w:szCs w:val="21"/>
                      <w:highlight w:val="none"/>
                      <w:lang w:val="en-US" w:eastAsia="zh-CN"/>
                    </w:rPr>
                    <w:t>/</w:t>
                  </w:r>
                </w:p>
              </w:tc>
            </w:tr>
            <w:tr w14:paraId="7F24B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1D5A46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12</w:t>
                  </w:r>
                </w:p>
              </w:tc>
              <w:tc>
                <w:tcPr>
                  <w:tcW w:w="1283" w:type="pct"/>
                  <w:tcBorders>
                    <w:tl2br w:val="nil"/>
                    <w:tr2bl w:val="nil"/>
                  </w:tcBorders>
                  <w:noWrap/>
                  <w:vAlign w:val="center"/>
                </w:tcPr>
                <w:p w14:paraId="69C9D550">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气流速度（m/s）</w:t>
                  </w:r>
                </w:p>
              </w:tc>
              <w:tc>
                <w:tcPr>
                  <w:tcW w:w="1855" w:type="pct"/>
                  <w:tcBorders>
                    <w:tl2br w:val="nil"/>
                    <w:tr2bl w:val="nil"/>
                  </w:tcBorders>
                  <w:noWrap/>
                  <w:vAlign w:val="center"/>
                </w:tcPr>
                <w:p w14:paraId="66E8E46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0.58</w:t>
                  </w:r>
                </w:p>
              </w:tc>
              <w:tc>
                <w:tcPr>
                  <w:tcW w:w="1662" w:type="pct"/>
                  <w:tcBorders>
                    <w:tl2br w:val="nil"/>
                    <w:tr2bl w:val="nil"/>
                  </w:tcBorders>
                  <w:noWrap/>
                  <w:vAlign w:val="center"/>
                </w:tcPr>
                <w:p w14:paraId="1B2E93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w:t>
                  </w:r>
                  <w:r>
                    <w:rPr>
                      <w:rFonts w:hint="default" w:ascii="Times New Roman" w:hAnsi="Times New Roman" w:eastAsia="宋体" w:cs="Times New Roman"/>
                      <w:snapToGrid w:val="0"/>
                      <w:color w:val="auto"/>
                      <w:kern w:val="0"/>
                      <w:sz w:val="21"/>
                      <w:szCs w:val="21"/>
                      <w:highlight w:val="none"/>
                      <w:lang w:val="en-US" w:eastAsia="zh-CN"/>
                    </w:rPr>
                    <w:t>0.60</w:t>
                  </w:r>
                </w:p>
              </w:tc>
            </w:tr>
            <w:tr w14:paraId="29166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4B932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13</w:t>
                  </w:r>
                </w:p>
              </w:tc>
              <w:tc>
                <w:tcPr>
                  <w:tcW w:w="1283" w:type="pct"/>
                  <w:tcBorders>
                    <w:tl2br w:val="nil"/>
                    <w:tr2bl w:val="nil"/>
                  </w:tcBorders>
                  <w:noWrap/>
                  <w:vAlign w:val="center"/>
                </w:tcPr>
                <w:p w14:paraId="37EAF4B2">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填充量</w:t>
                  </w:r>
                </w:p>
              </w:tc>
              <w:tc>
                <w:tcPr>
                  <w:tcW w:w="1855" w:type="pct"/>
                  <w:tcBorders>
                    <w:tl2br w:val="nil"/>
                    <w:tr2bl w:val="nil"/>
                  </w:tcBorders>
                  <w:noWrap/>
                  <w:vAlign w:val="center"/>
                </w:tcPr>
                <w:p w14:paraId="31D9311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rPr>
                    <w:t>0.2</w:t>
                  </w:r>
                  <w:r>
                    <w:rPr>
                      <w:rFonts w:hint="default" w:ascii="Times New Roman" w:hAnsi="Times New Roman" w:eastAsia="宋体" w:cs="Times New Roman"/>
                      <w:snapToGrid w:val="0"/>
                      <w:color w:val="auto"/>
                      <w:kern w:val="0"/>
                      <w:sz w:val="21"/>
                      <w:szCs w:val="21"/>
                      <w:highlight w:val="none"/>
                    </w:rPr>
                    <w:t>t*2</w:t>
                  </w:r>
                </w:p>
              </w:tc>
              <w:tc>
                <w:tcPr>
                  <w:tcW w:w="1662" w:type="pct"/>
                  <w:tcBorders>
                    <w:tl2br w:val="nil"/>
                    <w:tr2bl w:val="nil"/>
                  </w:tcBorders>
                  <w:noWrap/>
                  <w:vAlign w:val="center"/>
                </w:tcPr>
                <w:p w14:paraId="15A9DA9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605BF9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0BAE47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14</w:t>
                  </w:r>
                </w:p>
              </w:tc>
              <w:tc>
                <w:tcPr>
                  <w:tcW w:w="1283" w:type="pct"/>
                  <w:tcBorders>
                    <w:tl2br w:val="nil"/>
                    <w:tr2bl w:val="nil"/>
                  </w:tcBorders>
                  <w:noWrap/>
                  <w:vAlign w:val="center"/>
                </w:tcPr>
                <w:p w14:paraId="10B0F328">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eastAsia="zh-CN"/>
                    </w:rPr>
                  </w:pPr>
                  <w:r>
                    <w:rPr>
                      <w:rFonts w:hint="default" w:ascii="Times New Roman" w:hAnsi="Times New Roman" w:eastAsia="宋体" w:cs="Times New Roman"/>
                      <w:snapToGrid w:val="0"/>
                      <w:color w:val="auto"/>
                      <w:kern w:val="0"/>
                      <w:sz w:val="21"/>
                      <w:szCs w:val="21"/>
                      <w:highlight w:val="none"/>
                    </w:rPr>
                    <w:t>更换</w:t>
                  </w:r>
                  <w:r>
                    <w:rPr>
                      <w:rFonts w:hint="default" w:ascii="Times New Roman" w:hAnsi="Times New Roman" w:eastAsia="宋体" w:cs="Times New Roman"/>
                      <w:snapToGrid w:val="0"/>
                      <w:color w:val="auto"/>
                      <w:kern w:val="0"/>
                      <w:sz w:val="21"/>
                      <w:szCs w:val="21"/>
                      <w:highlight w:val="none"/>
                      <w:lang w:val="en-US" w:eastAsia="zh-CN"/>
                    </w:rPr>
                    <w:t>周期</w:t>
                  </w:r>
                </w:p>
              </w:tc>
              <w:tc>
                <w:tcPr>
                  <w:tcW w:w="1855" w:type="pct"/>
                  <w:tcBorders>
                    <w:tl2br w:val="nil"/>
                    <w:tr2bl w:val="nil"/>
                  </w:tcBorders>
                  <w:noWrap/>
                  <w:vAlign w:val="center"/>
                </w:tcPr>
                <w:p w14:paraId="0F6B72A9">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53天</w:t>
                  </w:r>
                </w:p>
              </w:tc>
              <w:tc>
                <w:tcPr>
                  <w:tcW w:w="1662" w:type="pct"/>
                  <w:tcBorders>
                    <w:tl2br w:val="nil"/>
                    <w:tr2bl w:val="nil"/>
                  </w:tcBorders>
                  <w:noWrap/>
                  <w:vAlign w:val="center"/>
                </w:tcPr>
                <w:p w14:paraId="51156AC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2ADCA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3ABF5D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15</w:t>
                  </w:r>
                </w:p>
              </w:tc>
              <w:tc>
                <w:tcPr>
                  <w:tcW w:w="1283" w:type="pct"/>
                  <w:tcBorders>
                    <w:tl2br w:val="nil"/>
                    <w:tr2bl w:val="nil"/>
                  </w:tcBorders>
                  <w:noWrap/>
                  <w:vAlign w:val="center"/>
                </w:tcPr>
                <w:p w14:paraId="66DB9E31">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更换频次</w:t>
                  </w:r>
                </w:p>
              </w:tc>
              <w:tc>
                <w:tcPr>
                  <w:tcW w:w="1855" w:type="pct"/>
                  <w:tcBorders>
                    <w:tl2br w:val="nil"/>
                    <w:tr2bl w:val="nil"/>
                  </w:tcBorders>
                  <w:noWrap/>
                  <w:vAlign w:val="center"/>
                </w:tcPr>
                <w:p w14:paraId="3567875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eastAsia" w:cs="Times New Roman"/>
                      <w:snapToGrid w:val="0"/>
                      <w:color w:val="auto"/>
                      <w:kern w:val="0"/>
                      <w:sz w:val="21"/>
                      <w:szCs w:val="21"/>
                      <w:highlight w:val="none"/>
                      <w:lang w:val="en-US" w:eastAsia="zh-CN"/>
                    </w:rPr>
                    <w:t>6</w:t>
                  </w:r>
                  <w:r>
                    <w:rPr>
                      <w:rFonts w:hint="default" w:ascii="Times New Roman" w:hAnsi="Times New Roman" w:eastAsia="宋体" w:cs="Times New Roman"/>
                      <w:snapToGrid w:val="0"/>
                      <w:color w:val="auto"/>
                      <w:kern w:val="0"/>
                      <w:sz w:val="21"/>
                      <w:szCs w:val="21"/>
                      <w:highlight w:val="none"/>
                      <w:lang w:val="en-US" w:eastAsia="zh-CN"/>
                    </w:rPr>
                    <w:t>次/年</w:t>
                  </w:r>
                </w:p>
              </w:tc>
              <w:tc>
                <w:tcPr>
                  <w:tcW w:w="1662" w:type="pct"/>
                  <w:tcBorders>
                    <w:tl2br w:val="nil"/>
                    <w:tr2bl w:val="nil"/>
                  </w:tcBorders>
                  <w:noWrap/>
                  <w:vAlign w:val="center"/>
                </w:tcPr>
                <w:p w14:paraId="74536CBA">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w:t>
                  </w:r>
                </w:p>
              </w:tc>
            </w:tr>
            <w:tr w14:paraId="00820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4741D3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16</w:t>
                  </w:r>
                </w:p>
              </w:tc>
              <w:tc>
                <w:tcPr>
                  <w:tcW w:w="1283" w:type="pct"/>
                  <w:tcBorders>
                    <w:tl2br w:val="nil"/>
                    <w:tr2bl w:val="nil"/>
                  </w:tcBorders>
                  <w:noWrap/>
                  <w:vAlign w:val="center"/>
                </w:tcPr>
                <w:p w14:paraId="0173E004">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活性炭风阻力</w:t>
                  </w:r>
                </w:p>
              </w:tc>
              <w:tc>
                <w:tcPr>
                  <w:tcW w:w="1855" w:type="pct"/>
                  <w:tcBorders>
                    <w:tl2br w:val="nil"/>
                    <w:tr2bl w:val="nil"/>
                  </w:tcBorders>
                  <w:noWrap/>
                  <w:vAlign w:val="center"/>
                </w:tcPr>
                <w:p w14:paraId="501D2F0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500pa</w:t>
                  </w:r>
                </w:p>
              </w:tc>
              <w:tc>
                <w:tcPr>
                  <w:tcW w:w="1662" w:type="pct"/>
                  <w:tcBorders>
                    <w:tl2br w:val="nil"/>
                    <w:tr2bl w:val="nil"/>
                  </w:tcBorders>
                  <w:noWrap/>
                  <w:vAlign w:val="center"/>
                </w:tcPr>
                <w:p w14:paraId="01991B1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1E654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041FC4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17</w:t>
                  </w:r>
                </w:p>
              </w:tc>
              <w:tc>
                <w:tcPr>
                  <w:tcW w:w="1283" w:type="pct"/>
                  <w:tcBorders>
                    <w:tl2br w:val="nil"/>
                    <w:tr2bl w:val="nil"/>
                  </w:tcBorders>
                  <w:noWrap/>
                  <w:vAlign w:val="center"/>
                </w:tcPr>
                <w:p w14:paraId="49731DF5">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设计处理效率</w:t>
                  </w:r>
                </w:p>
              </w:tc>
              <w:tc>
                <w:tcPr>
                  <w:tcW w:w="1855" w:type="pct"/>
                  <w:tcBorders>
                    <w:tl2br w:val="nil"/>
                    <w:tr2bl w:val="nil"/>
                  </w:tcBorders>
                  <w:noWrap/>
                  <w:vAlign w:val="center"/>
                </w:tcPr>
                <w:p w14:paraId="12EEC877">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w:t>
                  </w:r>
                  <w:r>
                    <w:rPr>
                      <w:rFonts w:hint="default" w:ascii="Times New Roman" w:hAnsi="Times New Roman" w:eastAsia="宋体" w:cs="Times New Roman"/>
                      <w:snapToGrid w:val="0"/>
                      <w:color w:val="auto"/>
                      <w:kern w:val="0"/>
                      <w:sz w:val="21"/>
                      <w:szCs w:val="21"/>
                      <w:highlight w:val="none"/>
                      <w:lang w:val="en-US" w:eastAsia="zh-CN"/>
                    </w:rPr>
                    <w:t>90%</w:t>
                  </w:r>
                </w:p>
              </w:tc>
              <w:tc>
                <w:tcPr>
                  <w:tcW w:w="1662" w:type="pct"/>
                  <w:tcBorders>
                    <w:tl2br w:val="nil"/>
                    <w:tr2bl w:val="nil"/>
                  </w:tcBorders>
                  <w:noWrap/>
                  <w:vAlign w:val="center"/>
                </w:tcPr>
                <w:p w14:paraId="2D18CF3B">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w:t>
                  </w:r>
                </w:p>
              </w:tc>
            </w:tr>
            <w:tr w14:paraId="7FB0F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ign w:val="center"/>
                </w:tcPr>
                <w:p w14:paraId="6CC611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18</w:t>
                  </w:r>
                </w:p>
              </w:tc>
              <w:tc>
                <w:tcPr>
                  <w:tcW w:w="1283" w:type="pct"/>
                  <w:tcBorders>
                    <w:tl2br w:val="nil"/>
                    <w:tr2bl w:val="nil"/>
                  </w:tcBorders>
                  <w:noWrap/>
                  <w:vAlign w:val="center"/>
                </w:tcPr>
                <w:p w14:paraId="1EBD5E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水分含量（%）</w:t>
                  </w:r>
                </w:p>
              </w:tc>
              <w:tc>
                <w:tcPr>
                  <w:tcW w:w="1855" w:type="pct"/>
                  <w:tcBorders>
                    <w:tl2br w:val="nil"/>
                    <w:tr2bl w:val="nil"/>
                  </w:tcBorders>
                  <w:noWrap/>
                  <w:vAlign w:val="center"/>
                </w:tcPr>
                <w:p w14:paraId="438381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8</w:t>
                  </w:r>
                </w:p>
              </w:tc>
              <w:tc>
                <w:tcPr>
                  <w:tcW w:w="1662" w:type="pct"/>
                  <w:tcBorders>
                    <w:tl2br w:val="nil"/>
                    <w:tr2bl w:val="nil"/>
                  </w:tcBorders>
                  <w:noWrap/>
                  <w:vAlign w:val="center"/>
                </w:tcPr>
                <w:p w14:paraId="51F29B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w:t>
                  </w:r>
                  <w:r>
                    <w:rPr>
                      <w:rFonts w:hint="default" w:ascii="Times New Roman" w:hAnsi="Times New Roman" w:eastAsia="宋体" w:cs="Times New Roman"/>
                      <w:smallCaps w:val="0"/>
                      <w:snapToGrid w:val="0"/>
                      <w:color w:val="auto"/>
                      <w:spacing w:val="0"/>
                      <w:kern w:val="0"/>
                      <w:sz w:val="21"/>
                      <w:szCs w:val="21"/>
                      <w:highlight w:val="none"/>
                      <w:lang w:val="en-US" w:eastAsia="zh-CN"/>
                    </w:rPr>
                    <w:t>10</w:t>
                  </w:r>
                </w:p>
              </w:tc>
            </w:tr>
            <w:tr w14:paraId="35D3B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0"/>
                  <w:vAlign w:val="center"/>
                </w:tcPr>
                <w:p w14:paraId="0DF6B6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19</w:t>
                  </w:r>
                </w:p>
              </w:tc>
              <w:tc>
                <w:tcPr>
                  <w:tcW w:w="1283" w:type="pct"/>
                  <w:tcBorders>
                    <w:tl2br w:val="nil"/>
                    <w:tr2bl w:val="nil"/>
                  </w:tcBorders>
                  <w:noWrap w:val="0"/>
                  <w:vAlign w:val="center"/>
                </w:tcPr>
                <w:p w14:paraId="34F293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耐磨强度（%）</w:t>
                  </w:r>
                </w:p>
              </w:tc>
              <w:tc>
                <w:tcPr>
                  <w:tcW w:w="1855" w:type="pct"/>
                  <w:tcBorders>
                    <w:tl2br w:val="nil"/>
                    <w:tr2bl w:val="nil"/>
                  </w:tcBorders>
                  <w:noWrap w:val="0"/>
                  <w:vAlign w:val="center"/>
                </w:tcPr>
                <w:p w14:paraId="03A0AE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90</w:t>
                  </w:r>
                </w:p>
              </w:tc>
              <w:tc>
                <w:tcPr>
                  <w:tcW w:w="1662" w:type="pct"/>
                  <w:tcBorders>
                    <w:tl2br w:val="nil"/>
                    <w:tr2bl w:val="nil"/>
                  </w:tcBorders>
                  <w:noWrap w:val="0"/>
                  <w:vAlign w:val="center"/>
                </w:tcPr>
                <w:p w14:paraId="5BCFD6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w:t>
                  </w:r>
                </w:p>
              </w:tc>
            </w:tr>
            <w:tr w14:paraId="46124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0"/>
                  <w:vAlign w:val="center"/>
                </w:tcPr>
                <w:p w14:paraId="5DF74ED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20</w:t>
                  </w:r>
                </w:p>
              </w:tc>
              <w:tc>
                <w:tcPr>
                  <w:tcW w:w="1283" w:type="pct"/>
                  <w:tcBorders>
                    <w:tl2br w:val="nil"/>
                    <w:tr2bl w:val="nil"/>
                  </w:tcBorders>
                  <w:noWrap w:val="0"/>
                  <w:vAlign w:val="center"/>
                </w:tcPr>
                <w:p w14:paraId="7A85FC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断裂强力（N）</w:t>
                  </w:r>
                </w:p>
              </w:tc>
              <w:tc>
                <w:tcPr>
                  <w:tcW w:w="1855" w:type="pct"/>
                  <w:tcBorders>
                    <w:tl2br w:val="nil"/>
                    <w:tr2bl w:val="nil"/>
                  </w:tcBorders>
                  <w:noWrap w:val="0"/>
                  <w:vAlign w:val="center"/>
                </w:tcPr>
                <w:p w14:paraId="08AE08B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5</w:t>
                  </w:r>
                </w:p>
              </w:tc>
              <w:tc>
                <w:tcPr>
                  <w:tcW w:w="1662" w:type="pct"/>
                  <w:tcBorders>
                    <w:tl2br w:val="nil"/>
                    <w:tr2bl w:val="nil"/>
                  </w:tcBorders>
                  <w:noWrap w:val="0"/>
                  <w:vAlign w:val="center"/>
                </w:tcPr>
                <w:p w14:paraId="63AE49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w:t>
                  </w:r>
                </w:p>
              </w:tc>
            </w:tr>
            <w:tr w14:paraId="7D53F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0"/>
                  <w:vAlign w:val="center"/>
                </w:tcPr>
                <w:p w14:paraId="28E848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bidi="ar-SA"/>
                    </w:rPr>
                    <w:t>21</w:t>
                  </w:r>
                </w:p>
              </w:tc>
              <w:tc>
                <w:tcPr>
                  <w:tcW w:w="1283" w:type="pct"/>
                  <w:tcBorders>
                    <w:tl2br w:val="nil"/>
                    <w:tr2bl w:val="nil"/>
                  </w:tcBorders>
                  <w:noWrap w:val="0"/>
                  <w:vAlign w:val="center"/>
                </w:tcPr>
                <w:p w14:paraId="0C06A47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着火点</w:t>
                  </w:r>
                </w:p>
              </w:tc>
              <w:tc>
                <w:tcPr>
                  <w:tcW w:w="1855" w:type="pct"/>
                  <w:tcBorders>
                    <w:tl2br w:val="nil"/>
                    <w:tr2bl w:val="nil"/>
                  </w:tcBorders>
                  <w:noWrap w:val="0"/>
                  <w:vAlign w:val="center"/>
                </w:tcPr>
                <w:p w14:paraId="691335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rPr>
                    <w:t>450</w:t>
                  </w:r>
                </w:p>
              </w:tc>
              <w:tc>
                <w:tcPr>
                  <w:tcW w:w="1662" w:type="pct"/>
                  <w:tcBorders>
                    <w:tl2br w:val="nil"/>
                    <w:tr2bl w:val="nil"/>
                  </w:tcBorders>
                  <w:noWrap w:val="0"/>
                  <w:vAlign w:val="center"/>
                </w:tcPr>
                <w:p w14:paraId="66D2E0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rPr>
                    <w:t>≥</w:t>
                  </w:r>
                  <w:r>
                    <w:rPr>
                      <w:rFonts w:hint="default" w:ascii="Times New Roman" w:hAnsi="Times New Roman" w:eastAsia="宋体" w:cs="Times New Roman"/>
                      <w:smallCaps w:val="0"/>
                      <w:snapToGrid w:val="0"/>
                      <w:color w:val="auto"/>
                      <w:spacing w:val="0"/>
                      <w:kern w:val="0"/>
                      <w:sz w:val="21"/>
                      <w:szCs w:val="21"/>
                      <w:highlight w:val="none"/>
                      <w:lang w:val="en-US" w:eastAsia="zh-CN"/>
                    </w:rPr>
                    <w:t>400</w:t>
                  </w:r>
                </w:p>
              </w:tc>
            </w:tr>
            <w:tr w14:paraId="46425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198" w:type="pct"/>
                  <w:tcBorders>
                    <w:tl2br w:val="nil"/>
                    <w:tr2bl w:val="nil"/>
                  </w:tcBorders>
                  <w:noWrap w:val="0"/>
                  <w:vAlign w:val="center"/>
                </w:tcPr>
                <w:p w14:paraId="798FA7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bidi="ar-SA"/>
                    </w:rPr>
                  </w:pPr>
                  <w:r>
                    <w:rPr>
                      <w:rFonts w:hint="default" w:ascii="Times New Roman" w:hAnsi="Times New Roman" w:eastAsia="宋体" w:cs="Times New Roman"/>
                      <w:smallCaps w:val="0"/>
                      <w:snapToGrid w:val="0"/>
                      <w:color w:val="auto"/>
                      <w:spacing w:val="0"/>
                      <w:kern w:val="0"/>
                      <w:sz w:val="21"/>
                      <w:szCs w:val="21"/>
                      <w:highlight w:val="none"/>
                      <w:lang w:val="en-US" w:eastAsia="zh-CN" w:bidi="ar-SA"/>
                    </w:rPr>
                    <w:t>22</w:t>
                  </w:r>
                </w:p>
              </w:tc>
              <w:tc>
                <w:tcPr>
                  <w:tcW w:w="1283" w:type="pct"/>
                  <w:tcBorders>
                    <w:tl2br w:val="nil"/>
                    <w:tr2bl w:val="nil"/>
                  </w:tcBorders>
                  <w:noWrap w:val="0"/>
                  <w:vAlign w:val="center"/>
                </w:tcPr>
                <w:p w14:paraId="380707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rPr>
                  </w:pPr>
                  <w:r>
                    <w:rPr>
                      <w:rFonts w:hint="default" w:ascii="Times New Roman" w:hAnsi="Times New Roman" w:eastAsia="宋体" w:cs="Times New Roman"/>
                      <w:smallCaps w:val="0"/>
                      <w:snapToGrid w:val="0"/>
                      <w:color w:val="auto"/>
                      <w:spacing w:val="0"/>
                      <w:kern w:val="0"/>
                      <w:sz w:val="21"/>
                      <w:szCs w:val="21"/>
                      <w:highlight w:val="none"/>
                      <w:shd w:val="clear" w:color="auto" w:fill="auto"/>
                      <w:lang w:val="en-US" w:eastAsia="zh-CN"/>
                    </w:rPr>
                    <w:t>四氯化碳吸附率（%）</w:t>
                  </w:r>
                </w:p>
              </w:tc>
              <w:tc>
                <w:tcPr>
                  <w:tcW w:w="1855" w:type="pct"/>
                  <w:tcBorders>
                    <w:tl2br w:val="nil"/>
                    <w:tr2bl w:val="nil"/>
                  </w:tcBorders>
                  <w:noWrap w:val="0"/>
                  <w:vAlign w:val="center"/>
                </w:tcPr>
                <w:p w14:paraId="43517B7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mallCaps w:val="0"/>
                      <w:snapToGrid w:val="0"/>
                      <w:color w:val="auto"/>
                      <w:spacing w:val="0"/>
                      <w:kern w:val="0"/>
                      <w:sz w:val="21"/>
                      <w:szCs w:val="21"/>
                      <w:highlight w:val="none"/>
                      <w:lang w:val="en-US" w:eastAsia="zh-CN"/>
                    </w:rPr>
                  </w:pPr>
                  <w:r>
                    <w:rPr>
                      <w:rFonts w:hint="default" w:ascii="Times New Roman" w:hAnsi="Times New Roman" w:eastAsia="宋体" w:cs="Times New Roman"/>
                      <w:smallCaps w:val="0"/>
                      <w:snapToGrid w:val="0"/>
                      <w:color w:val="auto"/>
                      <w:spacing w:val="0"/>
                      <w:kern w:val="0"/>
                      <w:sz w:val="21"/>
                      <w:szCs w:val="21"/>
                      <w:highlight w:val="none"/>
                      <w:shd w:val="clear" w:color="auto" w:fill="auto"/>
                      <w:lang w:val="en-US" w:eastAsia="zh-CN"/>
                    </w:rPr>
                    <w:t>49</w:t>
                  </w:r>
                </w:p>
              </w:tc>
              <w:tc>
                <w:tcPr>
                  <w:tcW w:w="1662" w:type="pct"/>
                  <w:tcBorders>
                    <w:tl2br w:val="nil"/>
                    <w:tr2bl w:val="nil"/>
                  </w:tcBorders>
                  <w:shd w:val="clear" w:color="auto" w:fill="auto"/>
                  <w:noWrap w:val="0"/>
                  <w:vAlign w:val="center"/>
                </w:tcPr>
                <w:p w14:paraId="616315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mallCaps w:val="0"/>
                      <w:snapToGrid w:val="0"/>
                      <w:color w:val="auto"/>
                      <w:spacing w:val="0"/>
                      <w:kern w:val="0"/>
                      <w:sz w:val="21"/>
                      <w:szCs w:val="21"/>
                      <w:highlight w:val="none"/>
                      <w:shd w:val="clear" w:color="auto" w:fill="auto"/>
                      <w:lang w:val="en-US" w:eastAsia="zh-CN" w:bidi="ar-SA"/>
                    </w:rPr>
                  </w:pPr>
                  <w:r>
                    <w:rPr>
                      <w:rFonts w:hint="default" w:ascii="Times New Roman" w:hAnsi="Times New Roman" w:eastAsia="宋体" w:cs="Times New Roman"/>
                      <w:snapToGrid w:val="0"/>
                      <w:color w:val="auto"/>
                      <w:kern w:val="0"/>
                      <w:sz w:val="21"/>
                      <w:szCs w:val="21"/>
                      <w:highlight w:val="none"/>
                      <w:shd w:val="clear" w:color="auto" w:fill="auto"/>
                    </w:rPr>
                    <w:t>≥</w:t>
                  </w:r>
                  <w:r>
                    <w:rPr>
                      <w:rFonts w:hint="default" w:ascii="Times New Roman" w:hAnsi="Times New Roman" w:eastAsia="宋体" w:cs="Times New Roman"/>
                      <w:snapToGrid w:val="0"/>
                      <w:color w:val="auto"/>
                      <w:kern w:val="0"/>
                      <w:sz w:val="21"/>
                      <w:szCs w:val="21"/>
                      <w:highlight w:val="none"/>
                      <w:shd w:val="clear" w:color="auto" w:fill="auto"/>
                      <w:lang w:val="en-US" w:eastAsia="zh-CN"/>
                    </w:rPr>
                    <w:t>40</w:t>
                  </w:r>
                </w:p>
              </w:tc>
            </w:tr>
          </w:tbl>
          <w:p w14:paraId="7EF4A274">
            <w:pPr>
              <w:pStyle w:val="396"/>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根据江苏省生态环境厅发布的《省生态环境厅关于将排污单位活性炭使用更换纳入排污许可管理的通知》附件中的公式计算活性炭更换周期：</w:t>
            </w:r>
          </w:p>
          <w:p w14:paraId="7BE35C0F">
            <w:pPr>
              <w:pStyle w:val="396"/>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10"/>
                <w:sz w:val="24"/>
                <w:szCs w:val="24"/>
                <w:highlight w:val="none"/>
              </w:rPr>
              <w:object>
                <v:shape id="_x0000_i1025" o:spt="75" type="#_x0000_t75" style="height:18pt;width:134pt;" o:ole="t" filled="f" o:preferrelative="t" stroked="f" coordsize="21600,21600">
                  <v:path/>
                  <v:fill on="f" focussize="0,0"/>
                  <v:stroke on="f"/>
                  <v:imagedata r:id="rId23" o:title=""/>
                  <o:lock v:ext="edit" aspectratio="t"/>
                  <w10:wrap type="none"/>
                  <w10:anchorlock/>
                </v:shape>
                <o:OLEObject Type="Embed" ProgID="Equation.KSEE3" ShapeID="_x0000_i1025" DrawAspect="Content" ObjectID="_1468075725" r:id="rId22">
                  <o:LockedField>false</o:LockedField>
                </o:OLEObject>
              </w:object>
            </w:r>
          </w:p>
          <w:p w14:paraId="540218CB">
            <w:pPr>
              <w:pStyle w:val="396"/>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式中：T——更换周期，天；</w:t>
            </w:r>
          </w:p>
          <w:p w14:paraId="2C0CFCA6">
            <w:pPr>
              <w:pStyle w:val="396"/>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m——活性炭的用量，kg；</w:t>
            </w:r>
          </w:p>
          <w:p w14:paraId="1813AC88">
            <w:pPr>
              <w:pStyle w:val="396"/>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s——动态吸附量，%；</w:t>
            </w:r>
          </w:p>
          <w:p w14:paraId="25C48D0D">
            <w:pPr>
              <w:pStyle w:val="396"/>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c——活性炭削减的VOCs浓度，mg/m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5DB35B19">
            <w:pPr>
              <w:pStyle w:val="396"/>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Q——风量，单位m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w:t>
            </w:r>
          </w:p>
          <w:p w14:paraId="551AD67D">
            <w:pPr>
              <w:pStyle w:val="396"/>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t——运行时间，单位h/d。</w:t>
            </w:r>
          </w:p>
          <w:p w14:paraId="33B0BBFC">
            <w:pPr>
              <w:pStyle w:val="397"/>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表4</w:t>
            </w:r>
            <w:r>
              <w:rPr>
                <w:rFonts w:hint="default"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活性炭更换周期一览表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1182"/>
              <w:gridCol w:w="1162"/>
              <w:gridCol w:w="2107"/>
              <w:gridCol w:w="1230"/>
              <w:gridCol w:w="1217"/>
              <w:gridCol w:w="1210"/>
            </w:tblGrid>
            <w:tr w14:paraId="30A21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6" w:type="pct"/>
                  <w:tcBorders>
                    <w:tl2br w:val="nil"/>
                    <w:tr2bl w:val="nil"/>
                  </w:tcBorders>
                  <w:noWrap w:val="0"/>
                  <w:vAlign w:val="center"/>
                </w:tcPr>
                <w:p w14:paraId="434D0B97">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装置名称</w:t>
                  </w:r>
                </w:p>
              </w:tc>
              <w:tc>
                <w:tcPr>
                  <w:tcW w:w="640" w:type="pct"/>
                  <w:tcBorders>
                    <w:tl2br w:val="nil"/>
                    <w:tr2bl w:val="nil"/>
                  </w:tcBorders>
                  <w:noWrap w:val="0"/>
                  <w:vAlign w:val="center"/>
                </w:tcPr>
                <w:p w14:paraId="47D69325">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活性炭用量（kg）</w:t>
                  </w:r>
                </w:p>
              </w:tc>
              <w:tc>
                <w:tcPr>
                  <w:tcW w:w="629" w:type="pct"/>
                  <w:tcBorders>
                    <w:tl2br w:val="nil"/>
                    <w:tr2bl w:val="nil"/>
                  </w:tcBorders>
                  <w:noWrap w:val="0"/>
                  <w:vAlign w:val="center"/>
                </w:tcPr>
                <w:p w14:paraId="47BCE25C">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动态吸附量（%）</w:t>
                  </w:r>
                </w:p>
              </w:tc>
              <w:tc>
                <w:tcPr>
                  <w:tcW w:w="1141" w:type="pct"/>
                  <w:tcBorders>
                    <w:tl2br w:val="nil"/>
                    <w:tr2bl w:val="nil"/>
                  </w:tcBorders>
                  <w:noWrap w:val="0"/>
                  <w:vAlign w:val="center"/>
                </w:tcPr>
                <w:p w14:paraId="6A0200D3">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活性炭削减VOCs的浓度（mg/m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666" w:type="pct"/>
                  <w:tcBorders>
                    <w:tl2br w:val="nil"/>
                    <w:tr2bl w:val="nil"/>
                  </w:tcBorders>
                  <w:noWrap w:val="0"/>
                  <w:vAlign w:val="center"/>
                </w:tcPr>
                <w:p w14:paraId="36108979">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风量（m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/h）</w:t>
                  </w:r>
                </w:p>
              </w:tc>
              <w:tc>
                <w:tcPr>
                  <w:tcW w:w="659" w:type="pct"/>
                  <w:tcBorders>
                    <w:tl2br w:val="nil"/>
                    <w:tr2bl w:val="nil"/>
                  </w:tcBorders>
                  <w:noWrap w:val="0"/>
                  <w:vAlign w:val="center"/>
                </w:tcPr>
                <w:p w14:paraId="65FC376F">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运行时间（h/d）</w:t>
                  </w:r>
                </w:p>
              </w:tc>
              <w:tc>
                <w:tcPr>
                  <w:tcW w:w="655" w:type="pct"/>
                  <w:tcBorders>
                    <w:tl2br w:val="nil"/>
                    <w:tr2bl w:val="nil"/>
                  </w:tcBorders>
                  <w:noWrap w:val="0"/>
                  <w:vAlign w:val="center"/>
                </w:tcPr>
                <w:p w14:paraId="3319ECA5">
                  <w:pPr>
                    <w:pStyle w:val="385"/>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更换周期（天）</w:t>
                  </w:r>
                </w:p>
              </w:tc>
            </w:tr>
            <w:tr w14:paraId="6209A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6" w:type="pct"/>
                  <w:tcBorders>
                    <w:tl2br w:val="nil"/>
                    <w:tr2bl w:val="nil"/>
                  </w:tcBorders>
                  <w:noWrap w:val="0"/>
                  <w:vAlign w:val="center"/>
                </w:tcPr>
                <w:p w14:paraId="6BD75EC0">
                  <w:pPr>
                    <w:pStyle w:val="20"/>
                    <w:keepNext w:val="0"/>
                    <w:keepLines w:val="0"/>
                    <w:pageBreakBefore w:val="0"/>
                    <w:kinsoku/>
                    <w:wordWrap/>
                    <w:overflowPunct/>
                    <w:topLinePunct w:val="0"/>
                    <w:autoSpaceDE/>
                    <w:autoSpaceDN/>
                    <w:bidi w:val="0"/>
                    <w:adjustRightInd/>
                    <w:snapToGrid/>
                    <w:spacing w:after="0" w:afterLines="0" w:line="240" w:lineRule="auto"/>
                    <w:ind w:left="0" w:leftChars="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二级活性炭吸附装置</w:t>
                  </w:r>
                </w:p>
              </w:tc>
              <w:tc>
                <w:tcPr>
                  <w:tcW w:w="640" w:type="pct"/>
                  <w:tcBorders>
                    <w:tl2br w:val="nil"/>
                    <w:tr2bl w:val="nil"/>
                  </w:tcBorders>
                  <w:noWrap w:val="0"/>
                  <w:vAlign w:val="center"/>
                </w:tcPr>
                <w:p w14:paraId="5A1A94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400</w:t>
                  </w:r>
                </w:p>
              </w:tc>
              <w:tc>
                <w:tcPr>
                  <w:tcW w:w="629" w:type="pct"/>
                  <w:tcBorders>
                    <w:tl2br w:val="nil"/>
                    <w:tr2bl w:val="nil"/>
                  </w:tcBorders>
                  <w:noWrap w:val="0"/>
                  <w:vAlign w:val="center"/>
                </w:tcPr>
                <w:p w14:paraId="77F4FF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bidi="ar"/>
                    </w:rPr>
                    <w:t>0%</w:t>
                  </w:r>
                </w:p>
              </w:tc>
              <w:tc>
                <w:tcPr>
                  <w:tcW w:w="1141" w:type="pct"/>
                  <w:tcBorders>
                    <w:tl2br w:val="nil"/>
                    <w:tr2bl w:val="nil"/>
                  </w:tcBorders>
                  <w:noWrap w:val="0"/>
                  <w:vAlign w:val="center"/>
                </w:tcPr>
                <w:p w14:paraId="393673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13.39</w:t>
                  </w:r>
                </w:p>
              </w:tc>
              <w:tc>
                <w:tcPr>
                  <w:tcW w:w="666" w:type="pct"/>
                  <w:tcBorders>
                    <w:tl2br w:val="nil"/>
                    <w:tr2bl w:val="nil"/>
                  </w:tcBorders>
                  <w:noWrap w:val="0"/>
                  <w:vAlign w:val="center"/>
                </w:tcPr>
                <w:p w14:paraId="40958B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7</w:t>
                  </w:r>
                  <w:r>
                    <w:rPr>
                      <w:rFonts w:hint="default" w:ascii="Times New Roman" w:hAnsi="Times New Roman" w:eastAsia="宋体" w:cs="Times New Roman"/>
                      <w:color w:val="auto"/>
                      <w:kern w:val="0"/>
                      <w:sz w:val="21"/>
                      <w:szCs w:val="21"/>
                      <w:highlight w:val="none"/>
                      <w:lang w:val="en-US" w:eastAsia="zh-CN" w:bidi="ar"/>
                    </w:rPr>
                    <w:t>000</w:t>
                  </w:r>
                </w:p>
              </w:tc>
              <w:tc>
                <w:tcPr>
                  <w:tcW w:w="659" w:type="pct"/>
                  <w:tcBorders>
                    <w:tl2br w:val="nil"/>
                    <w:tr2bl w:val="nil"/>
                  </w:tcBorders>
                  <w:noWrap w:val="0"/>
                  <w:vAlign w:val="center"/>
                </w:tcPr>
                <w:p w14:paraId="185E99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8</w:t>
                  </w:r>
                </w:p>
              </w:tc>
              <w:tc>
                <w:tcPr>
                  <w:tcW w:w="655" w:type="pct"/>
                  <w:tcBorders>
                    <w:tl2br w:val="nil"/>
                    <w:tr2bl w:val="nil"/>
                  </w:tcBorders>
                  <w:noWrap w:val="0"/>
                  <w:vAlign w:val="center"/>
                </w:tcPr>
                <w:p w14:paraId="68D6F5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T=400*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13.39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000*8/1000000）≈</w:t>
                  </w:r>
                  <w:r>
                    <w:rPr>
                      <w:rFonts w:hint="eastAsia" w:cs="Times New Roman"/>
                      <w:color w:val="auto"/>
                      <w:sz w:val="21"/>
                      <w:szCs w:val="21"/>
                      <w:highlight w:val="none"/>
                      <w:lang w:val="en-US" w:eastAsia="zh-CN"/>
                    </w:rPr>
                    <w:t>53</w:t>
                  </w:r>
                </w:p>
              </w:tc>
            </w:tr>
          </w:tbl>
          <w:p w14:paraId="14CE665A">
            <w:pPr>
              <w:pStyle w:val="389"/>
              <w:spacing w:before="0" w:beforeLines="0" w:after="0" w:afterLines="0" w:line="500" w:lineRule="exact"/>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根据计算所得，本项目废气处理设施活性炭更换周期</w:t>
            </w:r>
            <w:r>
              <w:rPr>
                <w:rFonts w:hint="default" w:ascii="Times New Roman" w:hAnsi="Times New Roman" w:eastAsia="宋体" w:cs="Times New Roman"/>
                <w:color w:val="auto"/>
                <w:sz w:val="24"/>
                <w:szCs w:val="24"/>
                <w:highlight w:val="none"/>
                <w:lang w:val="en-US" w:eastAsia="zh-CN"/>
              </w:rPr>
              <w:t>为</w:t>
            </w:r>
            <w:r>
              <w:rPr>
                <w:rFonts w:hint="eastAsia" w:eastAsia="宋体" w:cs="Times New Roman"/>
                <w:color w:val="auto"/>
                <w:sz w:val="24"/>
                <w:szCs w:val="24"/>
                <w:highlight w:val="none"/>
                <w:lang w:val="en-US" w:eastAsia="zh-CN"/>
              </w:rPr>
              <w:t>53</w:t>
            </w:r>
            <w:r>
              <w:rPr>
                <w:rFonts w:hint="default" w:ascii="Times New Roman" w:hAnsi="Times New Roman" w:eastAsia="宋体" w:cs="Times New Roman"/>
                <w:color w:val="auto"/>
                <w:sz w:val="24"/>
                <w:szCs w:val="24"/>
                <w:highlight w:val="none"/>
                <w:lang w:val="en-US" w:eastAsia="zh-CN"/>
              </w:rPr>
              <w:t>个工作日，</w:t>
            </w:r>
            <w:r>
              <w:rPr>
                <w:rFonts w:hint="default" w:ascii="Times New Roman" w:hAnsi="Times New Roman" w:eastAsia="宋体" w:cs="Times New Roman"/>
                <w:color w:val="auto"/>
                <w:sz w:val="24"/>
                <w:szCs w:val="24"/>
                <w:highlight w:val="none"/>
              </w:rPr>
              <w:t>根据苏环办﹝2022﹞218号文，针对活性炭充填量的要求，活性炭更换周期一般不应超过累计运行500小时或3个月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因此活性炭更换周期为</w:t>
            </w:r>
            <w:r>
              <w:rPr>
                <w:rFonts w:hint="eastAsia" w:eastAsia="宋体" w:cs="Times New Roman"/>
                <w:color w:val="auto"/>
                <w:sz w:val="24"/>
                <w:szCs w:val="24"/>
                <w:highlight w:val="none"/>
                <w:lang w:val="en-US" w:eastAsia="zh-CN"/>
              </w:rPr>
              <w:t>53天</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更换次数约</w:t>
            </w:r>
            <w:r>
              <w:rPr>
                <w:rFonts w:hint="eastAsia"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次/a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符合要求。</w:t>
            </w:r>
          </w:p>
          <w:p w14:paraId="3CBC03BE">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ind w:firstLine="42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val="en-US" w:eastAsia="zh-CN" w:bidi="ar"/>
              </w:rPr>
              <w:t>2</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bidi="ar"/>
              </w:rPr>
              <w:t>处理可行性及达标分析</w:t>
            </w:r>
          </w:p>
          <w:p w14:paraId="1AE9AA8F">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ind w:firstLine="42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w:t>
            </w:r>
            <w:r>
              <w:rPr>
                <w:rFonts w:hint="default" w:ascii="Times New Roman" w:hAnsi="Times New Roman" w:eastAsia="宋体" w:cs="Times New Roman"/>
                <w:color w:val="auto"/>
                <w:sz w:val="24"/>
                <w:szCs w:val="24"/>
                <w:lang w:val="en-US" w:eastAsia="zh-CN" w:bidi="ar"/>
              </w:rPr>
              <w:t>挤出</w:t>
            </w:r>
            <w:r>
              <w:rPr>
                <w:rFonts w:hint="default" w:ascii="Times New Roman" w:hAnsi="Times New Roman" w:eastAsia="宋体" w:cs="Times New Roman"/>
                <w:color w:val="auto"/>
                <w:sz w:val="24"/>
                <w:szCs w:val="24"/>
                <w:lang w:bidi="ar"/>
              </w:rPr>
              <w:t>污染源产生的</w:t>
            </w:r>
            <w:r>
              <w:rPr>
                <w:rFonts w:hint="default" w:ascii="Times New Roman" w:hAnsi="Times New Roman" w:eastAsia="宋体" w:cs="Times New Roman"/>
                <w:color w:val="auto"/>
                <w:sz w:val="24"/>
                <w:szCs w:val="24"/>
                <w:lang w:val="en-US" w:eastAsia="zh-CN" w:bidi="ar"/>
              </w:rPr>
              <w:t>有机废气</w:t>
            </w:r>
            <w:r>
              <w:rPr>
                <w:rFonts w:hint="default" w:ascii="Times New Roman" w:hAnsi="Times New Roman" w:eastAsia="宋体" w:cs="Times New Roman"/>
                <w:color w:val="auto"/>
                <w:sz w:val="24"/>
                <w:szCs w:val="24"/>
                <w:lang w:bidi="ar"/>
              </w:rPr>
              <w:t>采取</w:t>
            </w:r>
            <w:r>
              <w:rPr>
                <w:rFonts w:hint="default" w:ascii="Times New Roman" w:hAnsi="Times New Roman" w:eastAsia="宋体" w:cs="Times New Roman"/>
                <w:color w:val="auto"/>
                <w:sz w:val="24"/>
                <w:szCs w:val="24"/>
                <w:lang w:val="en-US" w:eastAsia="zh-CN" w:bidi="ar"/>
              </w:rPr>
              <w:t>二级活性炭吸附装置处理，</w:t>
            </w:r>
            <w:r>
              <w:rPr>
                <w:rFonts w:hint="default" w:ascii="Times New Roman" w:hAnsi="Times New Roman" w:eastAsia="宋体" w:cs="Times New Roman"/>
                <w:color w:val="auto"/>
                <w:sz w:val="24"/>
                <w:szCs w:val="24"/>
                <w:lang w:bidi="ar"/>
              </w:rPr>
              <w:t>属于《排污许可证申请与核发技术规范橡胶和塑料制品工业</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z w:val="24"/>
                <w:szCs w:val="24"/>
                <w:lang w:val="en-US" w:eastAsia="zh-CN"/>
              </w:rPr>
              <w:t>1122-</w:t>
            </w: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bidi="ar"/>
              </w:rPr>
              <w:t>里推荐的可行技术。</w:t>
            </w:r>
          </w:p>
          <w:p w14:paraId="2FB4F01C">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 w:val="left" w:pos="6566"/>
              </w:tabs>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bidi="ar"/>
              </w:rPr>
              <w:t>本项目</w:t>
            </w:r>
            <w:r>
              <w:rPr>
                <w:rFonts w:hint="default" w:ascii="Times New Roman" w:hAnsi="Times New Roman" w:eastAsia="宋体" w:cs="Times New Roman"/>
                <w:color w:val="auto"/>
                <w:sz w:val="24"/>
                <w:szCs w:val="24"/>
                <w:lang w:val="en-US" w:eastAsia="zh-CN" w:bidi="ar"/>
              </w:rPr>
              <w:t>采用</w:t>
            </w:r>
            <w:r>
              <w:rPr>
                <w:rFonts w:hint="default" w:ascii="Times New Roman" w:hAnsi="Times New Roman" w:eastAsia="宋体" w:cs="Times New Roman"/>
                <w:color w:val="auto"/>
                <w:sz w:val="24"/>
                <w:szCs w:val="24"/>
                <w:lang w:eastAsia="zh-CN" w:bidi="ar"/>
              </w:rPr>
              <w:t>二级活性炭吸附装置</w:t>
            </w:r>
            <w:r>
              <w:rPr>
                <w:rFonts w:hint="default" w:ascii="Times New Roman" w:hAnsi="Times New Roman" w:eastAsia="宋体" w:cs="Times New Roman"/>
                <w:color w:val="auto"/>
                <w:sz w:val="24"/>
                <w:szCs w:val="24"/>
                <w:lang w:bidi="ar"/>
              </w:rPr>
              <w:t>处理有机废气，进入处理装置的废气温度低于40°C，风机、电机和现场的电气仪表应不低于现场的防爆等级。</w:t>
            </w:r>
          </w:p>
          <w:p w14:paraId="5D2ABF96">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lang w:val="en-US" w:eastAsia="zh-CN" w:bidi="ar"/>
              </w:rPr>
            </w:pPr>
            <w:r>
              <w:rPr>
                <w:rFonts w:hint="default" w:ascii="Times New Roman" w:hAnsi="Times New Roman" w:eastAsia="宋体" w:cs="Times New Roman"/>
                <w:color w:val="auto"/>
                <w:sz w:val="24"/>
                <w:szCs w:val="24"/>
                <w:lang w:val="en-US" w:eastAsia="zh-CN" w:bidi="ar"/>
              </w:rPr>
              <w:t>根据《活性炭吸附操作》（柳柱材编，石油工业出版社，1960年第1版），一级活性炭对烃类气体的吸附能力为70%~80%，在合理控制废气流量、及时更换吸附饱和的活性炭的前提下，有机废气中的污染物均可以得到有效去除；同时，根据2014年国家科技部和环保部发布的《大气污染防治先进技术汇编》，活性炭吸附处理低浓度有机废气，净化效率可达到90%以上。本项目采用“二级活性炭吸附装置”吸附有机废气，故有机废气处理效率保守取90%，具有可行性。</w:t>
            </w:r>
          </w:p>
          <w:p w14:paraId="38591EE5">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bCs/>
                <w:color w:val="auto"/>
                <w:sz w:val="24"/>
                <w:highlight w:val="none"/>
                <w:lang w:val="en-US" w:eastAsia="zh-CN"/>
              </w:rPr>
            </w:pPr>
            <w:r>
              <w:rPr>
                <w:rFonts w:hint="eastAsia" w:cs="Times New Roman"/>
                <w:color w:val="auto"/>
                <w:sz w:val="24"/>
                <w:szCs w:val="24"/>
                <w:lang w:val="en-US" w:eastAsia="zh-CN" w:bidi="ar"/>
              </w:rPr>
              <w:t>（3）</w:t>
            </w:r>
            <w:r>
              <w:rPr>
                <w:rFonts w:hint="default" w:ascii="Times New Roman" w:hAnsi="Times New Roman" w:eastAsia="宋体" w:cs="Times New Roman"/>
                <w:b w:val="0"/>
                <w:bCs w:val="0"/>
                <w:color w:val="auto"/>
                <w:sz w:val="24"/>
                <w:highlight w:val="none"/>
                <w:lang w:val="en-US" w:eastAsia="zh-CN"/>
              </w:rPr>
              <w:t>活性炭吸附装置安全设置要求：</w:t>
            </w:r>
          </w:p>
          <w:p w14:paraId="509D89F1">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按照《吸附法工业有机废气治理工程技术规范》（HJ 2026-2013）、《</w:t>
            </w:r>
            <w:bookmarkStart w:id="11" w:name="_Hlk141347411"/>
            <w:r>
              <w:rPr>
                <w:rFonts w:hint="default" w:ascii="Times New Roman" w:hAnsi="Times New Roman" w:eastAsia="宋体" w:cs="Times New Roman"/>
                <w:b w:val="0"/>
                <w:bCs w:val="0"/>
                <w:color w:val="auto"/>
                <w:sz w:val="24"/>
                <w:highlight w:val="none"/>
                <w:lang w:val="en-US" w:eastAsia="zh-CN"/>
              </w:rPr>
              <w:t>环境保护产品技术要求 工业废气吸附净化装置</w:t>
            </w:r>
            <w:bookmarkEnd w:id="11"/>
            <w:r>
              <w:rPr>
                <w:rFonts w:hint="default" w:ascii="Times New Roman" w:hAnsi="Times New Roman" w:eastAsia="宋体" w:cs="Times New Roman"/>
                <w:b w:val="0"/>
                <w:bCs w:val="0"/>
                <w:color w:val="auto"/>
                <w:sz w:val="24"/>
                <w:highlight w:val="none"/>
                <w:lang w:val="en-US" w:eastAsia="zh-CN"/>
              </w:rPr>
              <w:t>》（</w:t>
            </w:r>
            <w:bookmarkStart w:id="12" w:name="_Hlk141347438"/>
            <w:r>
              <w:rPr>
                <w:rFonts w:hint="default" w:ascii="Times New Roman" w:hAnsi="Times New Roman" w:eastAsia="宋体" w:cs="Times New Roman"/>
                <w:b w:val="0"/>
                <w:bCs w:val="0"/>
                <w:color w:val="auto"/>
                <w:sz w:val="24"/>
                <w:highlight w:val="none"/>
                <w:lang w:val="en-US" w:eastAsia="zh-CN"/>
              </w:rPr>
              <w:t>HJ/T 386-2007</w:t>
            </w:r>
            <w:bookmarkEnd w:id="12"/>
            <w:r>
              <w:rPr>
                <w:rFonts w:hint="default" w:ascii="Times New Roman" w:hAnsi="Times New Roman" w:eastAsia="宋体" w:cs="Times New Roman"/>
                <w:b w:val="0"/>
                <w:bCs w:val="0"/>
                <w:color w:val="auto"/>
                <w:sz w:val="24"/>
                <w:highlight w:val="none"/>
                <w:lang w:val="en-US" w:eastAsia="zh-CN"/>
              </w:rPr>
              <w:t>）安全设置规定，本项目对活性炭吸附装置提出以下要求：</w:t>
            </w:r>
          </w:p>
          <w:p w14:paraId="201AC7AF">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①治理系统应有事故自动报警装置，并符合安全生产、事故防范的相关规定。</w:t>
            </w:r>
          </w:p>
          <w:p w14:paraId="230CCD76">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②治理系统与主体生产装置之间的管道系统应安装阻火器（防火阀），阻火器性能应符合GB 13347的规定。</w:t>
            </w:r>
          </w:p>
          <w:p w14:paraId="440619A6">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③风机、电机和置于现场的电气仪表等应不低于现场防爆等级。当吸附剂采用降压解吸方式再生且解吸后的高浓度有机气体采用液体吸收工艺进行回收时，风机、真空解吸泵和电气系统均应采用符合GB 3836.4要求的本安型防爆器件。</w:t>
            </w:r>
          </w:p>
          <w:p w14:paraId="7BB14CD2">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④在吸附操作周期内，吸附了有机气体后吸附床内的温度应低于83℃。当吸附装置内的温度超过83℃时，应能自动报警，并立即启动降温装置。</w:t>
            </w:r>
          </w:p>
          <w:p w14:paraId="486BE66D">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⑤采用热空气吹扫方式进行吸附剂再生时，当吸附装置内的温度超过120℃时，应能自动报警并立即中止再生操作、启动降温措施。</w:t>
            </w:r>
          </w:p>
          <w:p w14:paraId="4904E087">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⑥治理装置安装区域应按规定设置消防设施。</w:t>
            </w:r>
          </w:p>
          <w:p w14:paraId="2956F7DA">
            <w:pPr>
              <w:pStyle w:val="243"/>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⑦治理设备应具备短路保护和接地保护，接地电阻应小于4</w:t>
            </w:r>
            <w:r>
              <w:rPr>
                <w:rFonts w:hint="eastAsia"/>
                <w:color w:val="auto"/>
                <w:lang w:val="en-US" w:eastAsia="zh-CN"/>
              </w:rPr>
              <w:t>Ω</w:t>
            </w:r>
            <w:r>
              <w:rPr>
                <w:rFonts w:hint="default" w:ascii="Times New Roman" w:hAnsi="Times New Roman" w:eastAsia="宋体" w:cs="Times New Roman"/>
                <w:b w:val="0"/>
                <w:bCs w:val="0"/>
                <w:color w:val="auto"/>
                <w:sz w:val="24"/>
                <w:highlight w:val="none"/>
                <w:lang w:val="en-US" w:eastAsia="zh-CN"/>
              </w:rPr>
              <w:t>。</w:t>
            </w:r>
          </w:p>
          <w:p w14:paraId="66ABC5D7">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420" w:firstLineChars="0"/>
              <w:rPr>
                <w:rFonts w:hint="default" w:ascii="Times New Roman" w:hAnsi="Times New Roman" w:eastAsia="宋体" w:cs="Times New Roman"/>
                <w:color w:val="auto"/>
                <w:sz w:val="24"/>
                <w:szCs w:val="24"/>
                <w:lang w:val="en-US" w:eastAsia="zh-CN" w:bidi="ar"/>
              </w:rPr>
            </w:pPr>
            <w:r>
              <w:rPr>
                <w:rFonts w:hint="default" w:ascii="Times New Roman" w:hAnsi="Times New Roman" w:eastAsia="宋体" w:cs="Times New Roman"/>
                <w:b w:val="0"/>
                <w:bCs w:val="0"/>
                <w:color w:val="auto"/>
                <w:sz w:val="24"/>
                <w:highlight w:val="none"/>
                <w:lang w:val="en-US" w:eastAsia="zh-CN"/>
              </w:rPr>
              <w:t>⑧室外治理设备应安装符合GB 50057规定的避雷装置。</w:t>
            </w:r>
          </w:p>
          <w:p w14:paraId="3F5244FC">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2.2.1.</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排气筒设置合理性分析</w:t>
            </w:r>
          </w:p>
          <w:p w14:paraId="78301705">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本项目排气筒设置情况详见下表。</w:t>
            </w:r>
          </w:p>
          <w:p w14:paraId="7CB1AD51">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rPr>
              <w:t xml:space="preserve"> 项目排气筒设置情况一览表</w:t>
            </w:r>
          </w:p>
          <w:tbl>
            <w:tblPr>
              <w:tblStyle w:val="44"/>
              <w:tblW w:w="93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8"/>
              <w:gridCol w:w="2908"/>
              <w:gridCol w:w="2675"/>
              <w:gridCol w:w="1058"/>
              <w:gridCol w:w="1058"/>
              <w:gridCol w:w="873"/>
            </w:tblGrid>
            <w:tr w14:paraId="115B7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48" w:type="dxa"/>
                  <w:noWrap w:val="0"/>
                  <w:vAlign w:val="center"/>
                </w:tcPr>
                <w:p w14:paraId="06A3FA0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排气筒编号</w:t>
                  </w:r>
                </w:p>
              </w:tc>
              <w:tc>
                <w:tcPr>
                  <w:tcW w:w="2908" w:type="dxa"/>
                  <w:noWrap w:val="0"/>
                  <w:vAlign w:val="center"/>
                </w:tcPr>
                <w:p w14:paraId="06DC46B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污染防治措施</w:t>
                  </w:r>
                </w:p>
              </w:tc>
              <w:tc>
                <w:tcPr>
                  <w:tcW w:w="2675" w:type="dxa"/>
                  <w:noWrap w:val="0"/>
                  <w:vAlign w:val="center"/>
                </w:tcPr>
                <w:p w14:paraId="576AE7C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地理坐标</w:t>
                  </w:r>
                </w:p>
              </w:tc>
              <w:tc>
                <w:tcPr>
                  <w:tcW w:w="1058" w:type="dxa"/>
                  <w:noWrap w:val="0"/>
                  <w:vAlign w:val="center"/>
                </w:tcPr>
                <w:p w14:paraId="506D610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排气筒高度（m）</w:t>
                  </w:r>
                </w:p>
              </w:tc>
              <w:tc>
                <w:tcPr>
                  <w:tcW w:w="1058" w:type="dxa"/>
                  <w:noWrap w:val="0"/>
                  <w:vAlign w:val="center"/>
                </w:tcPr>
                <w:p w14:paraId="70E1817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排气筒直径（m）</w:t>
                  </w:r>
                </w:p>
              </w:tc>
              <w:tc>
                <w:tcPr>
                  <w:tcW w:w="873" w:type="dxa"/>
                  <w:noWrap w:val="0"/>
                  <w:vAlign w:val="center"/>
                </w:tcPr>
                <w:p w14:paraId="51C43F2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烟气流速(m/s)</w:t>
                  </w:r>
                </w:p>
              </w:tc>
            </w:tr>
            <w:tr w14:paraId="268BA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48" w:type="dxa"/>
                  <w:noWrap w:val="0"/>
                  <w:vAlign w:val="center"/>
                </w:tcPr>
                <w:p w14:paraId="47D5605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DA</w:t>
                  </w:r>
                  <w:r>
                    <w:rPr>
                      <w:rFonts w:hint="default" w:ascii="Times New Roman" w:hAnsi="Times New Roman" w:eastAsia="宋体" w:cs="Times New Roman"/>
                      <w:color w:val="auto"/>
                      <w:sz w:val="21"/>
                      <w:szCs w:val="21"/>
                    </w:rPr>
                    <w:t>001</w:t>
                  </w:r>
                </w:p>
              </w:tc>
              <w:tc>
                <w:tcPr>
                  <w:tcW w:w="2908" w:type="dxa"/>
                  <w:noWrap w:val="0"/>
                  <w:vAlign w:val="center"/>
                </w:tcPr>
                <w:p w14:paraId="256680A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布袋除尘器+二级活性炭吸附装置</w:t>
                  </w:r>
                </w:p>
              </w:tc>
              <w:tc>
                <w:tcPr>
                  <w:tcW w:w="2675" w:type="dxa"/>
                  <w:noWrap w:val="0"/>
                  <w:vAlign w:val="center"/>
                </w:tcPr>
                <w:p w14:paraId="381AB6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119.662913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31.625702</w:t>
                  </w:r>
                </w:p>
              </w:tc>
              <w:tc>
                <w:tcPr>
                  <w:tcW w:w="1058" w:type="dxa"/>
                  <w:noWrap w:val="0"/>
                  <w:vAlign w:val="center"/>
                </w:tcPr>
                <w:p w14:paraId="0F26266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1058" w:type="dxa"/>
                  <w:noWrap w:val="0"/>
                  <w:vAlign w:val="center"/>
                </w:tcPr>
                <w:p w14:paraId="2D34C6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0.4</w:t>
                  </w:r>
                  <w:r>
                    <w:rPr>
                      <w:rFonts w:hint="eastAsia" w:cs="Times New Roman"/>
                      <w:color w:val="auto"/>
                      <w:sz w:val="21"/>
                      <w:szCs w:val="21"/>
                      <w:highlight w:val="none"/>
                      <w:lang w:val="en-US" w:eastAsia="zh-CN"/>
                    </w:rPr>
                    <w:t>0</w:t>
                  </w:r>
                </w:p>
              </w:tc>
              <w:tc>
                <w:tcPr>
                  <w:tcW w:w="873" w:type="dxa"/>
                  <w:noWrap w:val="0"/>
                  <w:vAlign w:val="center"/>
                </w:tcPr>
                <w:p w14:paraId="65CA9C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15</w:t>
                  </w:r>
                </w:p>
              </w:tc>
            </w:tr>
          </w:tbl>
          <w:p w14:paraId="730857D1">
            <w:pPr>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结合工程设计</w:t>
            </w:r>
            <w:r>
              <w:rPr>
                <w:rFonts w:hint="default" w:ascii="Times New Roman" w:hAnsi="Times New Roman" w:eastAsia="宋体" w:cs="Times New Roman"/>
                <w:color w:val="auto"/>
                <w:sz w:val="24"/>
                <w:szCs w:val="24"/>
                <w:highlight w:val="none"/>
              </w:rPr>
              <w:t>和</w:t>
            </w:r>
            <w:r>
              <w:rPr>
                <w:rFonts w:hint="default" w:ascii="Times New Roman" w:hAnsi="Times New Roman" w:eastAsia="宋体" w:cs="Times New Roman"/>
                <w:color w:val="auto"/>
                <w:spacing w:val="0"/>
                <w:kern w:val="0"/>
                <w:sz w:val="24"/>
                <w:szCs w:val="24"/>
              </w:rPr>
              <w:t>《大气污染物综合排放标准》（DB32/4041-2021）</w:t>
            </w:r>
            <w:r>
              <w:rPr>
                <w:rFonts w:hint="default" w:ascii="Times New Roman" w:hAnsi="Times New Roman" w:eastAsia="宋体" w:cs="Times New Roman"/>
                <w:color w:val="auto"/>
                <w:sz w:val="24"/>
                <w:szCs w:val="24"/>
                <w:highlight w:val="none"/>
              </w:rPr>
              <w:t>中要求，排气筒高度不应低于15米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rPr>
              <w:t>排气筒的出口直径应根据出口流速确定，流速宜取15m/s左右。本项目排气筒高度满足要求，</w:t>
            </w:r>
            <w:r>
              <w:rPr>
                <w:rFonts w:hint="eastAsia" w:cs="Times New Roman"/>
                <w:color w:val="auto"/>
                <w:sz w:val="24"/>
                <w:szCs w:val="24"/>
                <w:lang w:val="en-US" w:eastAsia="zh-CN"/>
              </w:rPr>
              <w:t>且高于周围15m高建筑物，</w:t>
            </w:r>
            <w:r>
              <w:rPr>
                <w:rFonts w:hint="default" w:ascii="Times New Roman" w:hAnsi="Times New Roman" w:eastAsia="宋体" w:cs="Times New Roman"/>
                <w:color w:val="auto"/>
                <w:sz w:val="24"/>
                <w:szCs w:val="24"/>
              </w:rPr>
              <w:t>本项目排气筒废气排放流速约</w:t>
            </w:r>
            <w:r>
              <w:rPr>
                <w:rFonts w:hint="default"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m/s，因此排气筒设置是合理的。</w:t>
            </w:r>
          </w:p>
          <w:p w14:paraId="68B5FD88">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2.2.2无组织废气控制措施</w:t>
            </w:r>
          </w:p>
          <w:p w14:paraId="0678D5B0">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无散装物料，PVC、重质碳酸钙、环保热稳定剂、ESO、色母、齿轮油</w:t>
            </w:r>
            <w:r>
              <w:rPr>
                <w:rFonts w:hint="default" w:ascii="Times New Roman" w:hAnsi="Times New Roman" w:eastAsia="宋体" w:cs="Times New Roman"/>
                <w:color w:val="auto"/>
                <w:sz w:val="24"/>
                <w:szCs w:val="24"/>
              </w:rPr>
              <w:t>等采购的原辅材料全部均</w:t>
            </w:r>
            <w:r>
              <w:rPr>
                <w:rFonts w:hint="default" w:ascii="Times New Roman" w:hAnsi="Times New Roman" w:eastAsia="宋体" w:cs="Times New Roman"/>
                <w:color w:val="auto"/>
                <w:sz w:val="24"/>
                <w:szCs w:val="24"/>
                <w:lang w:val="en-US" w:eastAsia="zh-CN"/>
              </w:rPr>
              <w:t>密闭</w:t>
            </w:r>
            <w:r>
              <w:rPr>
                <w:rFonts w:hint="default" w:ascii="Times New Roman" w:hAnsi="Times New Roman" w:eastAsia="宋体" w:cs="Times New Roman"/>
                <w:color w:val="auto"/>
                <w:sz w:val="24"/>
                <w:szCs w:val="24"/>
              </w:rPr>
              <w:t>包装于相应包装物内，能够有效避免</w:t>
            </w:r>
            <w:r>
              <w:rPr>
                <w:rFonts w:hint="default" w:ascii="Times New Roman" w:hAnsi="Times New Roman" w:eastAsia="宋体" w:cs="Times New Roman"/>
                <w:color w:val="auto"/>
                <w:sz w:val="24"/>
                <w:szCs w:val="24"/>
                <w:lang w:val="en-US" w:eastAsia="zh-CN"/>
              </w:rPr>
              <w:t>有机废气运输过程中无组织排放</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园</w:t>
            </w:r>
            <w:r>
              <w:rPr>
                <w:rFonts w:hint="default" w:ascii="Times New Roman" w:hAnsi="Times New Roman" w:eastAsia="宋体" w:cs="Times New Roman"/>
                <w:color w:val="auto"/>
                <w:sz w:val="24"/>
                <w:szCs w:val="24"/>
              </w:rPr>
              <w:t>区道路均进行了绿化并采取清扫、洒水等措施，保持清洁。</w:t>
            </w:r>
            <w:r>
              <w:rPr>
                <w:rFonts w:hint="default" w:ascii="Times New Roman" w:hAnsi="Times New Roman" w:eastAsia="宋体" w:cs="Times New Roman"/>
                <w:color w:val="auto"/>
                <w:sz w:val="24"/>
                <w:szCs w:val="24"/>
                <w:lang w:val="en-US" w:eastAsia="zh-CN"/>
              </w:rPr>
              <w:t>园区及厂区安装</w:t>
            </w:r>
            <w:r>
              <w:rPr>
                <w:rFonts w:hint="default" w:ascii="Times New Roman" w:hAnsi="Times New Roman" w:eastAsia="宋体" w:cs="Times New Roman"/>
                <w:color w:val="auto"/>
                <w:sz w:val="24"/>
                <w:szCs w:val="24"/>
              </w:rPr>
              <w:t>有高清视频监控设施，主要生产设施和污染治理设施进行分表计电，建设有门禁系统和视频监控系统，监控运输车辆的进出厂区情况，视频监控数据保存三个月以上。</w:t>
            </w:r>
          </w:p>
          <w:p w14:paraId="7185DCA1">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根据不同废气来源，车间</w:t>
            </w:r>
            <w:r>
              <w:rPr>
                <w:rFonts w:hint="default" w:ascii="Times New Roman" w:hAnsi="Times New Roman" w:eastAsia="宋体" w:cs="Times New Roman"/>
                <w:color w:val="auto"/>
                <w:sz w:val="24"/>
                <w:szCs w:val="24"/>
                <w:lang w:val="en-US" w:eastAsia="zh-CN"/>
              </w:rPr>
              <w:t>废气产生</w:t>
            </w:r>
            <w:r>
              <w:rPr>
                <w:rFonts w:hint="default" w:ascii="Times New Roman" w:hAnsi="Times New Roman" w:eastAsia="宋体" w:cs="Times New Roman"/>
                <w:color w:val="auto"/>
                <w:sz w:val="24"/>
                <w:szCs w:val="24"/>
              </w:rPr>
              <w:t>点均配备有效的收集措施，主要包括</w:t>
            </w:r>
            <w:r>
              <w:rPr>
                <w:rFonts w:hint="default" w:ascii="Times New Roman" w:hAnsi="Times New Roman" w:eastAsia="宋体" w:cs="Times New Roman"/>
                <w:color w:val="auto"/>
                <w:sz w:val="24"/>
                <w:szCs w:val="24"/>
                <w:lang w:val="en-US" w:eastAsia="zh-CN"/>
              </w:rPr>
              <w:t>集气罩、设备密闭、车间密闭</w:t>
            </w:r>
            <w:r>
              <w:rPr>
                <w:rFonts w:hint="default" w:ascii="Times New Roman" w:hAnsi="Times New Roman" w:eastAsia="宋体" w:cs="Times New Roman"/>
                <w:color w:val="auto"/>
                <w:sz w:val="24"/>
                <w:szCs w:val="24"/>
              </w:rPr>
              <w:t>等，类比同类工程，在采取上述同样捕集措施的情况下，捕集效率较好。经分析可知，拟建工程在各个废气</w:t>
            </w:r>
            <w:r>
              <w:rPr>
                <w:rFonts w:hint="default" w:ascii="Times New Roman" w:hAnsi="Times New Roman" w:eastAsia="宋体" w:cs="Times New Roman"/>
                <w:color w:val="auto"/>
                <w:sz w:val="24"/>
                <w:szCs w:val="24"/>
                <w:lang w:val="en-US" w:eastAsia="zh-CN"/>
              </w:rPr>
              <w:t>产生点</w:t>
            </w:r>
            <w:r>
              <w:rPr>
                <w:rFonts w:hint="default" w:ascii="Times New Roman" w:hAnsi="Times New Roman" w:eastAsia="宋体" w:cs="Times New Roman"/>
                <w:color w:val="auto"/>
                <w:sz w:val="24"/>
                <w:szCs w:val="24"/>
              </w:rPr>
              <w:t>捕集效率均大于等于90%，且无组织废气均能达标排放，因此拟建工程采取的捕集措施可行。</w:t>
            </w:r>
          </w:p>
          <w:p w14:paraId="6A4EDD39">
            <w:pPr>
              <w:widowControl/>
              <w:tabs>
                <w:tab w:val="left" w:pos="585"/>
                <w:tab w:val="left" w:pos="850"/>
                <w:tab w:val="left" w:pos="1275"/>
                <w:tab w:val="left" w:pos="1700"/>
                <w:tab w:val="left" w:pos="2130"/>
                <w:tab w:val="left" w:pos="2550"/>
                <w:tab w:val="left" w:pos="3195"/>
                <w:tab w:val="left" w:pos="3400"/>
                <w:tab w:val="left" w:pos="3825"/>
                <w:tab w:val="left" w:pos="4250"/>
                <w:tab w:val="left" w:pos="4890"/>
              </w:tabs>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严格执行以上措施后，本项目</w:t>
            </w:r>
            <w:r>
              <w:rPr>
                <w:rFonts w:hint="default" w:ascii="Times New Roman" w:hAnsi="Times New Roman" w:eastAsia="宋体" w:cs="Times New Roman"/>
                <w:color w:val="auto"/>
                <w:sz w:val="24"/>
                <w:szCs w:val="24"/>
                <w:lang w:val="en-US" w:eastAsia="zh-CN"/>
              </w:rPr>
              <w:t>无组织</w:t>
            </w:r>
            <w:r>
              <w:rPr>
                <w:rFonts w:hint="default" w:ascii="Times New Roman" w:hAnsi="Times New Roman" w:eastAsia="宋体" w:cs="Times New Roman"/>
                <w:color w:val="auto"/>
                <w:sz w:val="24"/>
                <w:szCs w:val="24"/>
              </w:rPr>
              <w:t>污染物浓度符合《大气污染物综合排放标准》（DB32/4041-2021）表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3浓度限值要求。</w:t>
            </w:r>
          </w:p>
          <w:p w14:paraId="6E984DAC">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2.3非正常工况污染源强分析</w:t>
            </w:r>
          </w:p>
          <w:p w14:paraId="5A2F104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非正常工况包括开停机、设备故障和检修、生产装置达不到设计参数、政策影响因素等情况下的排污，不包括恶性事故排放。</w:t>
            </w:r>
          </w:p>
          <w:p w14:paraId="35D9D5D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（1）开、停机污染源强分析</w:t>
            </w:r>
          </w:p>
          <w:p w14:paraId="07C7B26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对于开、停机，企业需做到：</w:t>
            </w:r>
          </w:p>
          <w:p w14:paraId="299017E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①车间开工时，首先运行对应的废气处理装置，然后再进行人工或机械操作。</w:t>
            </w:r>
          </w:p>
          <w:p w14:paraId="21ABBCB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②车间停工时，所有的废气处理装置继续运转，待产生的废气排出之后才逐台关闭。</w:t>
            </w:r>
          </w:p>
          <w:p w14:paraId="305071C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车间在开、停机时排出污染物均得到有效处理，经排放口排出的污染物浓度比正常生产时小。</w:t>
            </w:r>
          </w:p>
          <w:p w14:paraId="6CA45A04">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（2）生产设备故障和检修</w:t>
            </w:r>
          </w:p>
          <w:p w14:paraId="5030C90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设备故障时则立即停止作业，环保设施继续运行，经污染物得到充分处理后再关闭环保设施，可以确保废气排放情况达标排放。</w:t>
            </w:r>
          </w:p>
          <w:p w14:paraId="5B913B84">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设备检修时停止作业，不会有额外污染物产生。</w:t>
            </w:r>
          </w:p>
          <w:p w14:paraId="770C0A9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（3）环保设施出现故障</w:t>
            </w:r>
          </w:p>
          <w:p w14:paraId="594B378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在开工前要求先运行对应的废气处理装置，检查风机以及处理设施是否正常，在确保废气处理设施正常情况下再进行作业。</w:t>
            </w:r>
          </w:p>
          <w:p w14:paraId="322097F0">
            <w:pPr>
              <w:keepNext w:val="0"/>
              <w:keepLines w:val="0"/>
              <w:widowControl w:val="0"/>
              <w:suppressLineNumbers w:val="0"/>
              <w:spacing w:before="0" w:beforeAutospacing="0" w:after="0" w:afterAutospacing="0" w:line="480" w:lineRule="exact"/>
              <w:ind w:left="0" w:right="0"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本项目以</w:t>
            </w:r>
            <w:r>
              <w:rPr>
                <w:rFonts w:hint="default" w:ascii="Times New Roman" w:hAnsi="Times New Roman" w:eastAsia="宋体" w:cs="Times New Roman"/>
                <w:color w:val="auto"/>
                <w:sz w:val="24"/>
                <w:szCs w:val="24"/>
                <w:lang w:val="en-US" w:eastAsia="zh-CN"/>
              </w:rPr>
              <w:t>废气</w:t>
            </w:r>
            <w:r>
              <w:rPr>
                <w:rFonts w:hint="default" w:ascii="Times New Roman" w:hAnsi="Times New Roman" w:eastAsia="宋体" w:cs="Times New Roman"/>
                <w:color w:val="auto"/>
                <w:sz w:val="24"/>
                <w:szCs w:val="24"/>
              </w:rPr>
              <w:t>处理设施的</w:t>
            </w:r>
            <w:r>
              <w:rPr>
                <w:rFonts w:hint="default" w:ascii="Times New Roman" w:hAnsi="Times New Roman" w:eastAsia="宋体" w:cs="Times New Roman"/>
                <w:color w:val="auto"/>
                <w:sz w:val="24"/>
                <w:szCs w:val="24"/>
                <w:lang w:val="en-US" w:eastAsia="zh-CN"/>
              </w:rPr>
              <w:t>处理</w:t>
            </w:r>
            <w:r>
              <w:rPr>
                <w:rFonts w:hint="default" w:ascii="Times New Roman" w:hAnsi="Times New Roman" w:eastAsia="宋体" w:cs="Times New Roman"/>
                <w:color w:val="auto"/>
                <w:sz w:val="24"/>
                <w:szCs w:val="24"/>
              </w:rPr>
              <w:t>效率</w:t>
            </w:r>
            <w:r>
              <w:rPr>
                <w:rFonts w:hint="default" w:ascii="Times New Roman" w:hAnsi="Times New Roman" w:eastAsia="宋体" w:cs="Times New Roman"/>
                <w:color w:val="auto"/>
                <w:sz w:val="24"/>
                <w:szCs w:val="24"/>
                <w:lang w:val="en-US" w:eastAsia="zh-CN"/>
              </w:rPr>
              <w:t>为0</w:t>
            </w:r>
            <w:r>
              <w:rPr>
                <w:rFonts w:hint="default" w:ascii="Times New Roman" w:hAnsi="Times New Roman" w:eastAsia="宋体" w:cs="Times New Roman"/>
                <w:color w:val="auto"/>
                <w:sz w:val="24"/>
                <w:szCs w:val="24"/>
              </w:rPr>
              <w:t>为例，计算废气非正常排放量。拟建项目</w:t>
            </w:r>
            <w:r>
              <w:rPr>
                <w:rFonts w:hint="default" w:ascii="Times New Roman" w:hAnsi="Times New Roman" w:eastAsia="宋体" w:cs="Times New Roman"/>
                <w:color w:val="auto"/>
                <w:sz w:val="24"/>
                <w:szCs w:val="24"/>
                <w:lang w:val="en-US" w:eastAsia="zh-CN"/>
              </w:rPr>
              <w:t>投料粉尘、挤出废气</w:t>
            </w:r>
            <w:r>
              <w:rPr>
                <w:rFonts w:hint="default" w:ascii="Times New Roman" w:hAnsi="Times New Roman" w:eastAsia="宋体" w:cs="Times New Roman"/>
                <w:color w:val="auto"/>
                <w:sz w:val="24"/>
                <w:szCs w:val="24"/>
              </w:rPr>
              <w:t>处理设施采用</w:t>
            </w:r>
            <w:r>
              <w:rPr>
                <w:rFonts w:hint="default" w:ascii="Times New Roman" w:hAnsi="Times New Roman" w:eastAsia="宋体" w:cs="Times New Roman"/>
                <w:color w:val="auto"/>
                <w:sz w:val="24"/>
                <w:szCs w:val="24"/>
                <w:lang w:val="en-US" w:eastAsia="zh-CN"/>
              </w:rPr>
              <w:t>一套布袋除尘器+</w:t>
            </w:r>
            <w:r>
              <w:rPr>
                <w:rFonts w:hint="default" w:ascii="Times New Roman" w:hAnsi="Times New Roman" w:eastAsia="宋体" w:cs="Times New Roman"/>
                <w:color w:val="auto"/>
                <w:kern w:val="2"/>
                <w:sz w:val="24"/>
                <w:szCs w:val="24"/>
                <w:lang w:val="en-US" w:eastAsia="zh-CN" w:bidi="ar"/>
              </w:rPr>
              <w:t>二级活性炭吸附装置处理</w:t>
            </w:r>
            <w:r>
              <w:rPr>
                <w:rFonts w:hint="default" w:ascii="Times New Roman" w:hAnsi="Times New Roman" w:eastAsia="宋体" w:cs="Times New Roman"/>
                <w:color w:val="auto"/>
                <w:sz w:val="24"/>
                <w:szCs w:val="24"/>
              </w:rPr>
              <w:t>，风量为</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/h，经</w:t>
            </w:r>
            <w:r>
              <w:rPr>
                <w:rFonts w:hint="default" w:ascii="Times New Roman" w:hAnsi="Times New Roman" w:eastAsia="宋体" w:cs="Times New Roman"/>
                <w:color w:val="auto"/>
                <w:sz w:val="24"/>
                <w:szCs w:val="24"/>
                <w:lang w:val="en-US" w:eastAsia="zh-CN"/>
              </w:rPr>
              <w:t>过滤吸附</w:t>
            </w:r>
            <w:r>
              <w:rPr>
                <w:rFonts w:hint="default" w:ascii="Times New Roman" w:hAnsi="Times New Roman" w:eastAsia="宋体" w:cs="Times New Roman"/>
                <w:color w:val="auto"/>
                <w:sz w:val="24"/>
                <w:szCs w:val="24"/>
              </w:rPr>
              <w:t>后，外排废气</w:t>
            </w:r>
            <w:r>
              <w:rPr>
                <w:rFonts w:hint="default" w:ascii="Times New Roman" w:hAnsi="Times New Roman" w:eastAsia="宋体" w:cs="Times New Roman"/>
                <w:color w:val="auto"/>
                <w:sz w:val="24"/>
                <w:szCs w:val="24"/>
                <w:lang w:val="en-US" w:eastAsia="zh-CN"/>
              </w:rPr>
              <w:t>颗粒物</w:t>
            </w:r>
            <w:r>
              <w:rPr>
                <w:rFonts w:hint="default" w:ascii="Times New Roman" w:hAnsi="Times New Roman" w:eastAsia="宋体" w:cs="Times New Roman"/>
                <w:color w:val="auto"/>
                <w:sz w:val="24"/>
                <w:szCs w:val="24"/>
              </w:rPr>
              <w:t>浓度为</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val="en-US" w:eastAsia="zh-CN"/>
              </w:rPr>
              <w:t>56</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浓度为</w:t>
            </w:r>
            <w:r>
              <w:rPr>
                <w:rFonts w:hint="eastAsia" w:cs="Times New Roman"/>
                <w:color w:val="auto"/>
                <w:sz w:val="24"/>
                <w:szCs w:val="24"/>
                <w:lang w:val="en-US" w:eastAsia="zh-CN"/>
              </w:rPr>
              <w:t>1.31</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；当</w:t>
            </w:r>
            <w:r>
              <w:rPr>
                <w:rFonts w:hint="default" w:ascii="Times New Roman" w:hAnsi="Times New Roman" w:eastAsia="宋体" w:cs="Times New Roman"/>
                <w:color w:val="auto"/>
                <w:sz w:val="24"/>
                <w:szCs w:val="24"/>
                <w:lang w:val="en-US" w:eastAsia="zh-CN"/>
              </w:rPr>
              <w:t>活性炭</w:t>
            </w:r>
            <w:r>
              <w:rPr>
                <w:rFonts w:hint="default" w:ascii="Times New Roman" w:hAnsi="Times New Roman" w:eastAsia="宋体" w:cs="Times New Roman"/>
                <w:color w:val="auto"/>
                <w:sz w:val="24"/>
                <w:szCs w:val="24"/>
              </w:rPr>
              <w:t>使用时间长或</w:t>
            </w:r>
            <w:r>
              <w:rPr>
                <w:rFonts w:hint="default" w:ascii="Times New Roman" w:hAnsi="Times New Roman" w:eastAsia="宋体" w:cs="Times New Roman"/>
                <w:color w:val="auto"/>
                <w:sz w:val="24"/>
                <w:szCs w:val="24"/>
                <w:lang w:val="en-US" w:eastAsia="zh-CN"/>
              </w:rPr>
              <w:t>受潮</w:t>
            </w:r>
            <w:r>
              <w:rPr>
                <w:rFonts w:hint="default" w:ascii="Times New Roman" w:hAnsi="Times New Roman" w:eastAsia="宋体" w:cs="Times New Roman"/>
                <w:color w:val="auto"/>
                <w:sz w:val="24"/>
                <w:szCs w:val="24"/>
              </w:rPr>
              <w:t>而未及时更换时，其</w:t>
            </w:r>
            <w:r>
              <w:rPr>
                <w:rFonts w:hint="default" w:ascii="Times New Roman" w:hAnsi="Times New Roman" w:eastAsia="宋体" w:cs="Times New Roman"/>
                <w:color w:val="auto"/>
                <w:sz w:val="24"/>
                <w:szCs w:val="24"/>
                <w:lang w:val="en-US" w:eastAsia="zh-CN"/>
              </w:rPr>
              <w:t>处理</w:t>
            </w:r>
            <w:r>
              <w:rPr>
                <w:rFonts w:hint="default" w:ascii="Times New Roman" w:hAnsi="Times New Roman" w:eastAsia="宋体" w:cs="Times New Roman"/>
                <w:color w:val="auto"/>
                <w:sz w:val="24"/>
                <w:szCs w:val="24"/>
              </w:rPr>
              <w:t>效率会有所下降，但企业日常生产中都会定期对</w:t>
            </w:r>
            <w:r>
              <w:rPr>
                <w:rFonts w:hint="default" w:ascii="Times New Roman" w:hAnsi="Times New Roman" w:eastAsia="宋体" w:cs="Times New Roman"/>
                <w:color w:val="auto"/>
                <w:sz w:val="24"/>
                <w:szCs w:val="24"/>
                <w:lang w:val="en-US" w:eastAsia="zh-CN"/>
              </w:rPr>
              <w:t>废气处理</w:t>
            </w:r>
            <w:r>
              <w:rPr>
                <w:rFonts w:hint="default" w:ascii="Times New Roman" w:hAnsi="Times New Roman" w:eastAsia="宋体" w:cs="Times New Roman"/>
                <w:color w:val="auto"/>
                <w:sz w:val="24"/>
                <w:szCs w:val="24"/>
              </w:rPr>
              <w:t>设施进行检查、维护和更换，假设</w:t>
            </w:r>
            <w:r>
              <w:rPr>
                <w:rFonts w:hint="default" w:ascii="Times New Roman" w:hAnsi="Times New Roman" w:eastAsia="宋体" w:cs="Times New Roman"/>
                <w:color w:val="auto"/>
                <w:sz w:val="24"/>
                <w:szCs w:val="24"/>
                <w:lang w:val="en-US" w:eastAsia="zh-CN"/>
              </w:rPr>
              <w:t>活性炭</w:t>
            </w:r>
            <w:r>
              <w:rPr>
                <w:rFonts w:hint="default" w:ascii="Times New Roman" w:hAnsi="Times New Roman" w:eastAsia="宋体" w:cs="Times New Roman"/>
                <w:color w:val="auto"/>
                <w:sz w:val="24"/>
                <w:szCs w:val="24"/>
              </w:rPr>
              <w:t>使用时间长或</w:t>
            </w:r>
            <w:r>
              <w:rPr>
                <w:rFonts w:hint="default" w:ascii="Times New Roman" w:hAnsi="Times New Roman" w:eastAsia="宋体" w:cs="Times New Roman"/>
                <w:color w:val="auto"/>
                <w:sz w:val="24"/>
                <w:szCs w:val="24"/>
                <w:lang w:val="en-US" w:eastAsia="zh-CN"/>
              </w:rPr>
              <w:t>受潮</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处理效率为0</w:t>
            </w:r>
            <w:r>
              <w:rPr>
                <w:rFonts w:hint="default" w:ascii="Times New Roman" w:hAnsi="Times New Roman" w:eastAsia="宋体" w:cs="Times New Roman"/>
                <w:color w:val="auto"/>
                <w:sz w:val="24"/>
                <w:szCs w:val="24"/>
              </w:rPr>
              <w:t>，导致外排废气</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浓度达到</w:t>
            </w:r>
            <w:r>
              <w:rPr>
                <w:rFonts w:hint="eastAsia" w:cs="Times New Roman"/>
                <w:color w:val="auto"/>
                <w:sz w:val="24"/>
                <w:szCs w:val="24"/>
                <w:lang w:val="en-US" w:eastAsia="zh-CN"/>
              </w:rPr>
              <w:t>13.10</w:t>
            </w:r>
            <w:r>
              <w:rPr>
                <w:rFonts w:hint="default" w:ascii="Times New Roman" w:hAnsi="Times New Roman" w:eastAsia="宋体" w:cs="Times New Roman"/>
                <w:color w:val="auto"/>
                <w:sz w:val="24"/>
                <w:szCs w:val="24"/>
              </w:rPr>
              <w:t>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，则</w:t>
            </w:r>
            <w:r>
              <w:rPr>
                <w:rFonts w:hint="default" w:ascii="Times New Roman" w:hAnsi="Times New Roman" w:eastAsia="宋体" w:cs="Times New Roman"/>
                <w:color w:val="auto"/>
                <w:sz w:val="24"/>
                <w:szCs w:val="24"/>
                <w:lang w:val="en-US" w:eastAsia="zh-CN"/>
              </w:rPr>
              <w:t>挤出废气中非甲烷总烃</w:t>
            </w:r>
            <w:r>
              <w:rPr>
                <w:rFonts w:hint="default" w:ascii="Times New Roman" w:hAnsi="Times New Roman" w:eastAsia="宋体" w:cs="Times New Roman"/>
                <w:color w:val="auto"/>
                <w:sz w:val="24"/>
                <w:szCs w:val="24"/>
              </w:rPr>
              <w:t>非正常工况排放量为</w:t>
            </w:r>
            <w:r>
              <w:rPr>
                <w:rFonts w:hint="default" w:ascii="Times New Roman" w:hAnsi="Times New Roman" w:eastAsia="宋体" w:cs="Times New Roman"/>
                <w:color w:val="auto"/>
                <w:sz w:val="24"/>
                <w:szCs w:val="24"/>
                <w:lang w:val="en-US" w:eastAsia="zh-CN"/>
              </w:rPr>
              <w:t>0.09</w:t>
            </w:r>
            <w:r>
              <w:rPr>
                <w:rFonts w:hint="default" w:ascii="Times New Roman" w:hAnsi="Times New Roman" w:eastAsia="宋体" w:cs="Times New Roman"/>
                <w:color w:val="auto"/>
                <w:sz w:val="24"/>
                <w:szCs w:val="24"/>
              </w:rPr>
              <w:t>kg/h</w:t>
            </w:r>
            <w:r>
              <w:rPr>
                <w:rFonts w:hint="default" w:ascii="Times New Roman" w:hAnsi="Times New Roman" w:eastAsia="宋体" w:cs="Times New Roman"/>
                <w:color w:val="auto"/>
                <w:sz w:val="24"/>
                <w:szCs w:val="24"/>
                <w:lang w:eastAsia="zh-CN"/>
              </w:rPr>
              <w:t>。当除尘器布袋使用时间长或发生破损而未及时更换时，其除尘效率会有所下降，但企业日常生产中都会定期对除尘设施进行检查、维护和更换，假设除尘器发生破损，除尘效率降低50%，导致外排废气含颗粒物浓度达到</w:t>
            </w:r>
            <w:r>
              <w:rPr>
                <w:rFonts w:hint="eastAsia" w:cs="Times New Roman"/>
                <w:color w:val="auto"/>
                <w:sz w:val="24"/>
                <w:szCs w:val="24"/>
                <w:lang w:val="en-US" w:eastAsia="zh-CN"/>
              </w:rPr>
              <w:t>25.60</w:t>
            </w:r>
            <w:r>
              <w:rPr>
                <w:rFonts w:hint="default" w:ascii="Times New Roman" w:hAnsi="Times New Roman" w:eastAsia="宋体" w:cs="Times New Roman"/>
                <w:color w:val="auto"/>
                <w:sz w:val="24"/>
                <w:szCs w:val="24"/>
                <w:lang w:eastAsia="zh-CN"/>
              </w:rPr>
              <w:t>mg/m</w:t>
            </w:r>
            <w:r>
              <w:rPr>
                <w:rFonts w:hint="default" w:ascii="Times New Roman" w:hAnsi="Times New Roman" w:eastAsia="宋体" w:cs="Times New Roman"/>
                <w:color w:val="auto"/>
                <w:sz w:val="24"/>
                <w:szCs w:val="24"/>
                <w:vertAlign w:val="superscript"/>
                <w:lang w:eastAsia="zh-CN"/>
              </w:rPr>
              <w:t>3</w:t>
            </w:r>
            <w:r>
              <w:rPr>
                <w:rFonts w:hint="default" w:ascii="Times New Roman" w:hAnsi="Times New Roman" w:eastAsia="宋体" w:cs="Times New Roman"/>
                <w:color w:val="auto"/>
                <w:sz w:val="24"/>
                <w:szCs w:val="24"/>
                <w:lang w:eastAsia="zh-CN"/>
              </w:rPr>
              <w:t>，则</w:t>
            </w:r>
            <w:r>
              <w:rPr>
                <w:rFonts w:hint="default" w:ascii="Times New Roman" w:hAnsi="Times New Roman" w:eastAsia="宋体" w:cs="Times New Roman"/>
                <w:color w:val="auto"/>
                <w:sz w:val="24"/>
                <w:szCs w:val="24"/>
                <w:lang w:val="en-US" w:eastAsia="zh-CN"/>
              </w:rPr>
              <w:t>投料粉尘</w:t>
            </w:r>
            <w:r>
              <w:rPr>
                <w:rFonts w:hint="default" w:ascii="Times New Roman" w:hAnsi="Times New Roman" w:eastAsia="宋体" w:cs="Times New Roman"/>
                <w:color w:val="auto"/>
                <w:sz w:val="24"/>
                <w:szCs w:val="24"/>
                <w:lang w:eastAsia="zh-CN"/>
              </w:rPr>
              <w:t>中颗粒物非正常工况排放量为</w:t>
            </w:r>
            <w:r>
              <w:rPr>
                <w:rFonts w:hint="eastAsia" w:cs="Times New Roman"/>
                <w:color w:val="auto"/>
                <w:sz w:val="24"/>
                <w:szCs w:val="24"/>
                <w:lang w:val="en-US" w:eastAsia="zh-CN"/>
              </w:rPr>
              <w:t>0.18</w:t>
            </w:r>
            <w:r>
              <w:rPr>
                <w:rFonts w:hint="default" w:ascii="Times New Roman" w:hAnsi="Times New Roman" w:eastAsia="宋体" w:cs="Times New Roman"/>
                <w:color w:val="auto"/>
                <w:sz w:val="24"/>
                <w:szCs w:val="24"/>
                <w:lang w:eastAsia="zh-CN"/>
              </w:rPr>
              <w:t>kg/h，</w:t>
            </w:r>
            <w:r>
              <w:rPr>
                <w:rFonts w:hint="default" w:ascii="Times New Roman" w:hAnsi="Times New Roman" w:eastAsia="宋体" w:cs="Times New Roman"/>
                <w:color w:val="auto"/>
                <w:sz w:val="24"/>
                <w:szCs w:val="24"/>
              </w:rPr>
              <w:t>预计发现非正常情况后立即停产，10min内实现主体装置停工。</w:t>
            </w:r>
          </w:p>
          <w:p w14:paraId="57A9F17D">
            <w:pP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根据上述非正常情景分析，拟建工程非正常排放时的源强见下表。</w:t>
            </w:r>
          </w:p>
          <w:p w14:paraId="39C131F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9</w:t>
            </w:r>
            <w:r>
              <w:rPr>
                <w:rFonts w:hint="default" w:ascii="Times New Roman" w:hAnsi="Times New Roman" w:eastAsia="宋体" w:cs="Times New Roman"/>
                <w:b/>
                <w:bCs/>
                <w:color w:val="auto"/>
                <w:sz w:val="21"/>
                <w:szCs w:val="21"/>
              </w:rPr>
              <w:t xml:space="preserve">  非正常工况排气筒污染物情况表</w:t>
            </w:r>
          </w:p>
          <w:tbl>
            <w:tblPr>
              <w:tblStyle w:val="44"/>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4"/>
              <w:gridCol w:w="1033"/>
              <w:gridCol w:w="928"/>
              <w:gridCol w:w="1295"/>
              <w:gridCol w:w="968"/>
              <w:gridCol w:w="1285"/>
              <w:gridCol w:w="1377"/>
            </w:tblGrid>
            <w:tr w14:paraId="290A6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34" w:type="dxa"/>
                  <w:noWrap w:val="0"/>
                  <w:vAlign w:val="center"/>
                </w:tcPr>
                <w:p w14:paraId="13F16B23">
                  <w:pPr>
                    <w:spacing w:line="240" w:lineRule="auto"/>
                    <w:ind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项目</w:t>
                  </w:r>
                </w:p>
              </w:tc>
              <w:tc>
                <w:tcPr>
                  <w:tcW w:w="1033" w:type="dxa"/>
                  <w:noWrap w:val="0"/>
                  <w:vAlign w:val="center"/>
                </w:tcPr>
                <w:p w14:paraId="25FCB9BD">
                  <w:pPr>
                    <w:spacing w:line="240" w:lineRule="auto"/>
                    <w:ind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持续时间（min）</w:t>
                  </w:r>
                </w:p>
              </w:tc>
              <w:tc>
                <w:tcPr>
                  <w:tcW w:w="928" w:type="dxa"/>
                  <w:noWrap w:val="0"/>
                  <w:vAlign w:val="center"/>
                </w:tcPr>
                <w:p w14:paraId="2DBA9763">
                  <w:pPr>
                    <w:spacing w:line="240" w:lineRule="auto"/>
                    <w:ind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发生频次</w:t>
                  </w:r>
                </w:p>
              </w:tc>
              <w:tc>
                <w:tcPr>
                  <w:tcW w:w="1295" w:type="dxa"/>
                  <w:noWrap w:val="0"/>
                  <w:vAlign w:val="center"/>
                </w:tcPr>
                <w:p w14:paraId="617E3349">
                  <w:pPr>
                    <w:spacing w:line="240" w:lineRule="auto"/>
                    <w:ind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放散量</w:t>
                  </w:r>
                </w:p>
              </w:tc>
              <w:tc>
                <w:tcPr>
                  <w:tcW w:w="968" w:type="dxa"/>
                  <w:noWrap w:val="0"/>
                  <w:vAlign w:val="center"/>
                </w:tcPr>
                <w:p w14:paraId="34206886">
                  <w:pPr>
                    <w:spacing w:line="240" w:lineRule="auto"/>
                    <w:ind w:firstLine="0" w:firstLineChars="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污染物名称</w:t>
                  </w:r>
                </w:p>
              </w:tc>
              <w:tc>
                <w:tcPr>
                  <w:tcW w:w="1285" w:type="dxa"/>
                  <w:noWrap w:val="0"/>
                  <w:vAlign w:val="center"/>
                </w:tcPr>
                <w:p w14:paraId="0C1701F4">
                  <w:pPr>
                    <w:spacing w:line="240" w:lineRule="auto"/>
                    <w:ind w:firstLine="0" w:firstLineChars="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排放浓度（mg/m</w:t>
                  </w:r>
                  <w:r>
                    <w:rPr>
                      <w:rFonts w:hint="default" w:ascii="Times New Roman" w:hAnsi="Times New Roman" w:eastAsia="宋体" w:cs="Times New Roman"/>
                      <w:b/>
                      <w:bCs/>
                      <w:color w:val="auto"/>
                      <w:kern w:val="0"/>
                      <w:sz w:val="21"/>
                      <w:szCs w:val="21"/>
                      <w:vertAlign w:val="superscript"/>
                      <w:lang w:val="en-US" w:eastAsia="zh-CN"/>
                    </w:rPr>
                    <w:t>3</w:t>
                  </w:r>
                  <w:r>
                    <w:rPr>
                      <w:rFonts w:hint="default" w:ascii="Times New Roman" w:hAnsi="Times New Roman" w:eastAsia="宋体" w:cs="Times New Roman"/>
                      <w:b/>
                      <w:bCs/>
                      <w:color w:val="auto"/>
                      <w:kern w:val="0"/>
                      <w:sz w:val="21"/>
                      <w:szCs w:val="21"/>
                      <w:lang w:val="en-US" w:eastAsia="zh-CN"/>
                    </w:rPr>
                    <w:t>）</w:t>
                  </w:r>
                </w:p>
              </w:tc>
              <w:tc>
                <w:tcPr>
                  <w:tcW w:w="1377" w:type="dxa"/>
                  <w:noWrap w:val="0"/>
                  <w:vAlign w:val="center"/>
                </w:tcPr>
                <w:p w14:paraId="6E0161D7">
                  <w:pPr>
                    <w:spacing w:line="240" w:lineRule="auto"/>
                    <w:ind w:firstLine="0" w:firstLine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rPr>
                    <w:t>排放速率</w:t>
                  </w:r>
                  <w:r>
                    <w:rPr>
                      <w:rFonts w:hint="default" w:ascii="Times New Roman" w:hAnsi="Times New Roman" w:eastAsia="宋体" w:cs="Times New Roman"/>
                      <w:b/>
                      <w:bCs/>
                      <w:color w:val="auto"/>
                      <w:kern w:val="0"/>
                      <w:sz w:val="21"/>
                      <w:szCs w:val="21"/>
                    </w:rPr>
                    <w:t>（kg/h）</w:t>
                  </w:r>
                </w:p>
              </w:tc>
            </w:tr>
            <w:tr w14:paraId="34C448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2434" w:type="dxa"/>
                  <w:noWrap w:val="0"/>
                  <w:vAlign w:val="center"/>
                </w:tcPr>
                <w:p w14:paraId="18A47E34">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活性炭</w:t>
                  </w:r>
                  <w:r>
                    <w:rPr>
                      <w:rFonts w:hint="default" w:ascii="Times New Roman" w:hAnsi="Times New Roman" w:eastAsia="宋体" w:cs="Times New Roman"/>
                      <w:color w:val="auto"/>
                      <w:sz w:val="21"/>
                      <w:szCs w:val="21"/>
                    </w:rPr>
                    <w:t>使用时间长或</w:t>
                  </w:r>
                  <w:r>
                    <w:rPr>
                      <w:rFonts w:hint="default" w:ascii="Times New Roman" w:hAnsi="Times New Roman" w:eastAsia="宋体" w:cs="Times New Roman"/>
                      <w:color w:val="auto"/>
                      <w:sz w:val="21"/>
                      <w:szCs w:val="21"/>
                      <w:lang w:val="en-US" w:eastAsia="zh-CN"/>
                    </w:rPr>
                    <w:t>受潮</w:t>
                  </w:r>
                </w:p>
              </w:tc>
              <w:tc>
                <w:tcPr>
                  <w:tcW w:w="1033" w:type="dxa"/>
                  <w:noWrap w:val="0"/>
                  <w:vAlign w:val="center"/>
                </w:tcPr>
                <w:p w14:paraId="26987B1D">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928" w:type="dxa"/>
                  <w:noWrap w:val="0"/>
                  <w:vAlign w:val="center"/>
                </w:tcPr>
                <w:p w14:paraId="55518502">
                  <w:pPr>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1次/年</w:t>
                  </w:r>
                </w:p>
              </w:tc>
              <w:tc>
                <w:tcPr>
                  <w:tcW w:w="1295" w:type="dxa"/>
                  <w:noWrap w:val="0"/>
                  <w:vAlign w:val="center"/>
                </w:tcPr>
                <w:p w14:paraId="5A3D073D">
                  <w:pPr>
                    <w:spacing w:line="240" w:lineRule="auto"/>
                    <w:ind w:firstLine="0" w:firstLineChars="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7</w:t>
                  </w:r>
                  <w:r>
                    <w:rPr>
                      <w:rFonts w:hint="default" w:ascii="Times New Roman" w:hAnsi="Times New Roman" w:eastAsia="宋体" w:cs="Times New Roman"/>
                      <w:color w:val="auto"/>
                      <w:kern w:val="0"/>
                      <w:sz w:val="21"/>
                      <w:szCs w:val="21"/>
                      <w:lang w:val="en-US" w:eastAsia="zh-CN"/>
                    </w:rPr>
                    <w:t>000</w:t>
                  </w:r>
                  <w:r>
                    <w:rPr>
                      <w:rFonts w:hint="default" w:ascii="Times New Roman" w:hAnsi="Times New Roman" w:eastAsia="宋体" w:cs="Times New Roman"/>
                      <w:color w:val="auto"/>
                      <w:kern w:val="0"/>
                      <w:sz w:val="21"/>
                      <w:szCs w:val="21"/>
                    </w:rPr>
                    <w:t>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/h</w:t>
                  </w:r>
                </w:p>
              </w:tc>
              <w:tc>
                <w:tcPr>
                  <w:tcW w:w="968" w:type="dxa"/>
                  <w:noWrap w:val="0"/>
                  <w:vAlign w:val="center"/>
                </w:tcPr>
                <w:p w14:paraId="4AEBFD6C">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非甲烷总烃</w:t>
                  </w:r>
                </w:p>
              </w:tc>
              <w:tc>
                <w:tcPr>
                  <w:tcW w:w="1285" w:type="dxa"/>
                  <w:noWrap w:val="0"/>
                  <w:vAlign w:val="center"/>
                </w:tcPr>
                <w:p w14:paraId="7F38CA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eastAsia" w:cs="Times New Roman"/>
                      <w:i w:val="0"/>
                      <w:iCs w:val="0"/>
                      <w:color w:val="auto"/>
                      <w:kern w:val="0"/>
                      <w:sz w:val="21"/>
                      <w:szCs w:val="21"/>
                      <w:u w:val="none"/>
                      <w:lang w:val="en-US" w:eastAsia="zh-CN" w:bidi="ar"/>
                    </w:rPr>
                    <w:t>13.10</w:t>
                  </w:r>
                </w:p>
              </w:tc>
              <w:tc>
                <w:tcPr>
                  <w:tcW w:w="1377" w:type="dxa"/>
                  <w:noWrap w:val="0"/>
                  <w:vAlign w:val="center"/>
                </w:tcPr>
                <w:p w14:paraId="34D937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0.09</w:t>
                  </w:r>
                </w:p>
              </w:tc>
            </w:tr>
            <w:tr w14:paraId="19FE5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2434" w:type="dxa"/>
                  <w:noWrap w:val="0"/>
                  <w:vAlign w:val="center"/>
                </w:tcPr>
                <w:p w14:paraId="468BC2F3">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布袋</w:t>
                  </w:r>
                  <w:r>
                    <w:rPr>
                      <w:rFonts w:hint="default" w:ascii="Times New Roman" w:hAnsi="Times New Roman" w:eastAsia="宋体" w:cs="Times New Roman"/>
                      <w:color w:val="auto"/>
                      <w:sz w:val="21"/>
                      <w:szCs w:val="21"/>
                    </w:rPr>
                    <w:t>使用时间长或</w:t>
                  </w:r>
                  <w:r>
                    <w:rPr>
                      <w:rFonts w:hint="default" w:ascii="Times New Roman" w:hAnsi="Times New Roman" w:eastAsia="宋体" w:cs="Times New Roman"/>
                      <w:color w:val="auto"/>
                      <w:sz w:val="21"/>
                      <w:szCs w:val="21"/>
                      <w:lang w:val="en-US" w:eastAsia="zh-CN"/>
                    </w:rPr>
                    <w:t>破损</w:t>
                  </w:r>
                </w:p>
              </w:tc>
              <w:tc>
                <w:tcPr>
                  <w:tcW w:w="1033" w:type="dxa"/>
                  <w:noWrap w:val="0"/>
                  <w:vAlign w:val="center"/>
                </w:tcPr>
                <w:p w14:paraId="065A36EA">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928" w:type="dxa"/>
                  <w:noWrap w:val="0"/>
                  <w:vAlign w:val="center"/>
                </w:tcPr>
                <w:p w14:paraId="6D9ADA18">
                  <w:pPr>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1次/年</w:t>
                  </w:r>
                </w:p>
              </w:tc>
              <w:tc>
                <w:tcPr>
                  <w:tcW w:w="1295" w:type="dxa"/>
                  <w:noWrap w:val="0"/>
                  <w:vAlign w:val="center"/>
                </w:tcPr>
                <w:p w14:paraId="3FE682E2">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r>
                    <w:rPr>
                      <w:rFonts w:hint="default" w:ascii="Times New Roman" w:hAnsi="Times New Roman" w:eastAsia="宋体" w:cs="Times New Roman"/>
                      <w:color w:val="auto"/>
                      <w:kern w:val="0"/>
                      <w:sz w:val="21"/>
                      <w:szCs w:val="21"/>
                      <w:lang w:val="en-US" w:eastAsia="zh-CN"/>
                    </w:rPr>
                    <w:t>000</w:t>
                  </w:r>
                  <w:r>
                    <w:rPr>
                      <w:rFonts w:hint="default" w:ascii="Times New Roman" w:hAnsi="Times New Roman" w:eastAsia="宋体" w:cs="Times New Roman"/>
                      <w:color w:val="auto"/>
                      <w:kern w:val="0"/>
                      <w:sz w:val="21"/>
                      <w:szCs w:val="21"/>
                    </w:rPr>
                    <w:t>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kern w:val="0"/>
                      <w:sz w:val="21"/>
                      <w:szCs w:val="21"/>
                    </w:rPr>
                    <w:t>/h</w:t>
                  </w:r>
                </w:p>
              </w:tc>
              <w:tc>
                <w:tcPr>
                  <w:tcW w:w="968" w:type="dxa"/>
                  <w:noWrap w:val="0"/>
                  <w:vAlign w:val="center"/>
                </w:tcPr>
                <w:p w14:paraId="53164358">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颗粒物</w:t>
                  </w:r>
                </w:p>
              </w:tc>
              <w:tc>
                <w:tcPr>
                  <w:tcW w:w="1285" w:type="dxa"/>
                  <w:noWrap w:val="0"/>
                  <w:vAlign w:val="center"/>
                </w:tcPr>
                <w:p w14:paraId="616455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25.60</w:t>
                  </w:r>
                </w:p>
              </w:tc>
              <w:tc>
                <w:tcPr>
                  <w:tcW w:w="1377" w:type="dxa"/>
                  <w:noWrap w:val="0"/>
                  <w:vAlign w:val="center"/>
                </w:tcPr>
                <w:p w14:paraId="35E6D7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18</w:t>
                  </w:r>
                </w:p>
              </w:tc>
            </w:tr>
          </w:tbl>
          <w:p w14:paraId="464A2C23">
            <w:pPr>
              <w:ind w:firstLine="42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根据上述分析，废气处理设施的</w:t>
            </w:r>
            <w:r>
              <w:rPr>
                <w:rFonts w:hint="default" w:ascii="Times New Roman" w:hAnsi="Times New Roman" w:eastAsia="宋体" w:cs="Times New Roman"/>
                <w:color w:val="auto"/>
                <w:sz w:val="24"/>
                <w:szCs w:val="24"/>
                <w:lang w:val="en-US" w:eastAsia="zh-CN"/>
              </w:rPr>
              <w:t>活性炭</w:t>
            </w:r>
            <w:r>
              <w:rPr>
                <w:rFonts w:hint="default" w:ascii="Times New Roman" w:hAnsi="Times New Roman" w:eastAsia="宋体" w:cs="Times New Roman"/>
                <w:color w:val="auto"/>
                <w:sz w:val="24"/>
                <w:szCs w:val="24"/>
              </w:rPr>
              <w:t>使用时间长或</w:t>
            </w:r>
            <w:r>
              <w:rPr>
                <w:rFonts w:hint="default" w:ascii="Times New Roman" w:hAnsi="Times New Roman" w:eastAsia="宋体" w:cs="Times New Roman"/>
                <w:color w:val="auto"/>
                <w:sz w:val="24"/>
                <w:szCs w:val="24"/>
                <w:lang w:val="en-US" w:eastAsia="zh-CN"/>
              </w:rPr>
              <w:t>受潮</w:t>
            </w:r>
            <w:r>
              <w:rPr>
                <w:rFonts w:hint="default" w:ascii="Times New Roman" w:hAnsi="Times New Roman" w:eastAsia="宋体" w:cs="Times New Roman"/>
                <w:color w:val="auto"/>
                <w:sz w:val="24"/>
                <w:szCs w:val="24"/>
              </w:rPr>
              <w:t>情况下，</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sz w:val="24"/>
                <w:szCs w:val="24"/>
              </w:rPr>
              <w:t>排放量</w:t>
            </w:r>
            <w:r>
              <w:rPr>
                <w:rFonts w:hint="default" w:ascii="Times New Roman" w:hAnsi="Times New Roman" w:eastAsia="宋体" w:cs="Times New Roman"/>
                <w:color w:val="auto"/>
                <w:sz w:val="24"/>
                <w:szCs w:val="24"/>
                <w:lang w:val="en-US" w:eastAsia="zh-CN"/>
              </w:rPr>
              <w:t>变</w:t>
            </w:r>
            <w:r>
              <w:rPr>
                <w:rFonts w:hint="default" w:ascii="Times New Roman" w:hAnsi="Times New Roman" w:eastAsia="宋体" w:cs="Times New Roman"/>
                <w:color w:val="auto"/>
                <w:sz w:val="24"/>
                <w:szCs w:val="24"/>
              </w:rPr>
              <w:t>大</w:t>
            </w:r>
            <w:r>
              <w:rPr>
                <w:rFonts w:hint="default" w:ascii="Times New Roman" w:hAnsi="Times New Roman" w:eastAsia="宋体" w:cs="Times New Roman"/>
                <w:color w:val="auto"/>
                <w:sz w:val="24"/>
                <w:szCs w:val="24"/>
                <w:lang w:eastAsia="zh-CN"/>
              </w:rPr>
              <w:t>；布袋使用时间长或破损</w:t>
            </w:r>
            <w:r>
              <w:rPr>
                <w:rFonts w:hint="default" w:ascii="Times New Roman" w:hAnsi="Times New Roman" w:eastAsia="宋体" w:cs="Times New Roman"/>
                <w:color w:val="auto"/>
                <w:sz w:val="24"/>
                <w:szCs w:val="24"/>
              </w:rPr>
              <w:t>情况下，</w:t>
            </w:r>
            <w:r>
              <w:rPr>
                <w:rFonts w:hint="default" w:ascii="Times New Roman" w:hAnsi="Times New Roman" w:eastAsia="宋体" w:cs="Times New Roman"/>
                <w:color w:val="auto"/>
                <w:sz w:val="24"/>
                <w:szCs w:val="24"/>
                <w:lang w:val="en-US" w:eastAsia="zh-CN"/>
              </w:rPr>
              <w:t>颗粒物</w:t>
            </w:r>
            <w:r>
              <w:rPr>
                <w:rFonts w:hint="default" w:ascii="Times New Roman" w:hAnsi="Times New Roman" w:eastAsia="宋体" w:cs="Times New Roman"/>
                <w:color w:val="auto"/>
                <w:sz w:val="24"/>
                <w:szCs w:val="24"/>
              </w:rPr>
              <w:t>排放量</w:t>
            </w:r>
            <w:r>
              <w:rPr>
                <w:rFonts w:hint="default" w:ascii="Times New Roman" w:hAnsi="Times New Roman" w:eastAsia="宋体" w:cs="Times New Roman"/>
                <w:color w:val="auto"/>
                <w:sz w:val="24"/>
                <w:szCs w:val="24"/>
                <w:lang w:val="en-US" w:eastAsia="zh-CN"/>
              </w:rPr>
              <w:t>变</w:t>
            </w:r>
            <w:r>
              <w:rPr>
                <w:rFonts w:hint="default" w:ascii="Times New Roman" w:hAnsi="Times New Roman" w:eastAsia="宋体" w:cs="Times New Roman"/>
                <w:color w:val="auto"/>
                <w:sz w:val="24"/>
                <w:szCs w:val="24"/>
              </w:rPr>
              <w:t>大</w:t>
            </w:r>
            <w:r>
              <w:rPr>
                <w:rFonts w:hint="default" w:ascii="Times New Roman" w:hAnsi="Times New Roman" w:eastAsia="宋体" w:cs="Times New Roman"/>
                <w:color w:val="auto"/>
                <w:sz w:val="24"/>
                <w:szCs w:val="24"/>
                <w:lang w:eastAsia="zh-CN"/>
              </w:rPr>
              <w:t>。</w:t>
            </w:r>
          </w:p>
          <w:p w14:paraId="58FB084B">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在生产过程中采取以下措施以有效防控环保措施失效，避免非正常工况。</w:t>
            </w:r>
          </w:p>
          <w:p w14:paraId="051CBFC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（1）根据同类企业的生产运行经验，企业对环保设备进行每周一次和每月一次的例行检查。</w:t>
            </w:r>
          </w:p>
          <w:p w14:paraId="4D999E08">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布袋除尘器、二级活性炭吸附装置</w:t>
            </w:r>
            <w:r>
              <w:rPr>
                <w:rFonts w:hint="default" w:ascii="Times New Roman" w:hAnsi="Times New Roman" w:eastAsia="宋体" w:cs="Times New Roman"/>
                <w:color w:val="auto"/>
                <w:sz w:val="24"/>
                <w:szCs w:val="24"/>
              </w:rPr>
              <w:t>定期维护。</w:t>
            </w:r>
          </w:p>
          <w:p w14:paraId="57FDF6CB">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2.4正常工况废气达标分析</w:t>
            </w:r>
          </w:p>
          <w:p w14:paraId="4564CE7C">
            <w:pPr>
              <w:ind w:firstLine="422"/>
              <w:rPr>
                <w:rFonts w:hint="default" w:ascii="Times New Roman" w:hAnsi="Times New Roman" w:eastAsia="宋体" w:cs="Times New Roman"/>
                <w:b/>
                <w:bCs/>
                <w:color w:val="auto"/>
                <w:sz w:val="24"/>
                <w:szCs w:val="24"/>
              </w:rPr>
            </w:pPr>
            <w:r>
              <w:rPr>
                <w:rFonts w:hint="eastAsia" w:cs="Times New Roman"/>
                <w:color w:val="auto"/>
                <w:sz w:val="24"/>
                <w:szCs w:val="24"/>
                <w:lang w:val="en-US" w:eastAsia="zh-CN"/>
              </w:rPr>
              <w:t>根据废气产生及排放情况分析，</w:t>
            </w:r>
            <w:r>
              <w:rPr>
                <w:rFonts w:hint="default" w:ascii="Times New Roman" w:hAnsi="Times New Roman" w:eastAsia="宋体" w:cs="Times New Roman"/>
                <w:color w:val="auto"/>
                <w:sz w:val="24"/>
                <w:szCs w:val="24"/>
                <w:lang w:val="en-US" w:eastAsia="zh-CN"/>
              </w:rPr>
              <w:t>本项目颗粒物</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非甲烷总烃、氯乙烯、氯化氢有组织排放</w:t>
            </w:r>
            <w:r>
              <w:rPr>
                <w:rFonts w:hint="eastAsia" w:cs="Times New Roman"/>
                <w:color w:val="auto"/>
                <w:sz w:val="24"/>
                <w:szCs w:val="24"/>
                <w:lang w:val="en-US" w:eastAsia="zh-CN"/>
              </w:rPr>
              <w:t>复符合</w:t>
            </w:r>
            <w:r>
              <w:rPr>
                <w:rFonts w:hint="default" w:ascii="Times New Roman" w:hAnsi="Times New Roman" w:eastAsia="宋体" w:cs="Times New Roman"/>
                <w:color w:val="auto"/>
                <w:sz w:val="24"/>
                <w:lang w:val="en-US" w:eastAsia="zh-CN"/>
              </w:rPr>
              <w:t>《大气污染物综合排放标准》（DB32/4041-2021）表1</w:t>
            </w:r>
            <w:r>
              <w:rPr>
                <w:rFonts w:hint="default" w:ascii="Times New Roman" w:hAnsi="Times New Roman" w:eastAsia="宋体" w:cs="Times New Roman"/>
                <w:color w:val="auto"/>
                <w:sz w:val="24"/>
                <w:szCs w:val="24"/>
                <w:lang w:val="en-US" w:eastAsia="zh-CN"/>
              </w:rPr>
              <w:t>标准限值。</w:t>
            </w:r>
            <w:r>
              <w:rPr>
                <w:rFonts w:hint="default" w:ascii="Times New Roman" w:hAnsi="Times New Roman" w:eastAsia="宋体" w:cs="Times New Roman"/>
                <w:color w:val="auto"/>
                <w:sz w:val="24"/>
                <w:szCs w:val="24"/>
              </w:rPr>
              <w:t>厂界颗粒物、非甲烷总烃</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氯乙烯、氯化氢</w:t>
            </w:r>
            <w:r>
              <w:rPr>
                <w:rFonts w:hint="eastAsia" w:cs="Times New Roman"/>
                <w:color w:val="auto"/>
                <w:sz w:val="24"/>
                <w:szCs w:val="24"/>
                <w:lang w:val="en-US" w:eastAsia="zh-CN"/>
              </w:rPr>
              <w:t>符合</w:t>
            </w:r>
            <w:r>
              <w:rPr>
                <w:rFonts w:hint="default" w:ascii="Times New Roman" w:hAnsi="Times New Roman" w:eastAsia="宋体" w:cs="Times New Roman"/>
                <w:color w:val="auto"/>
                <w:sz w:val="24"/>
                <w:szCs w:val="24"/>
              </w:rPr>
              <w:t>《大气污染物综合排放标准》（DB32/4041-2021）表3排放限值。厂区内厂房外非甲烷总烃无组织排放监控点浓度</w:t>
            </w:r>
            <w:r>
              <w:rPr>
                <w:rFonts w:hint="eastAsia" w:cs="Times New Roman"/>
                <w:color w:val="auto"/>
                <w:sz w:val="24"/>
                <w:szCs w:val="24"/>
                <w:lang w:val="en-US" w:eastAsia="zh-CN"/>
              </w:rPr>
              <w:t>符合</w:t>
            </w:r>
            <w:r>
              <w:rPr>
                <w:rFonts w:hint="default" w:ascii="Times New Roman" w:hAnsi="Times New Roman" w:eastAsia="宋体" w:cs="Times New Roman"/>
                <w:color w:val="auto"/>
                <w:sz w:val="24"/>
                <w:szCs w:val="24"/>
              </w:rPr>
              <w:t>《大气污染物综合排放标准》（DB32/4041-2021）表</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排放限值。</w:t>
            </w:r>
          </w:p>
          <w:p w14:paraId="61BCE19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2.4.1排气筒排放废气达标分析</w:t>
            </w:r>
          </w:p>
          <w:p w14:paraId="0510DFB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本项目有组织废气排放达标情况详见表4</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w:t>
            </w:r>
          </w:p>
          <w:p w14:paraId="212EB2F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rPr>
              <w:t xml:space="preserve">  排气筒排放废气达标排放情况</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35"/>
              <w:gridCol w:w="532"/>
              <w:gridCol w:w="672"/>
              <w:gridCol w:w="1189"/>
              <w:gridCol w:w="552"/>
              <w:gridCol w:w="759"/>
              <w:gridCol w:w="700"/>
              <w:gridCol w:w="792"/>
              <w:gridCol w:w="783"/>
              <w:gridCol w:w="626"/>
              <w:gridCol w:w="1329"/>
              <w:gridCol w:w="657"/>
            </w:tblGrid>
            <w:tr w14:paraId="18236C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4" w:type="pct"/>
                  <w:vMerge w:val="restart"/>
                  <w:tcBorders>
                    <w:tl2br w:val="nil"/>
                    <w:tr2bl w:val="nil"/>
                  </w:tcBorders>
                  <w:noWrap w:val="0"/>
                  <w:vAlign w:val="center"/>
                </w:tcPr>
                <w:p w14:paraId="70DBDD51">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288" w:type="pct"/>
                  <w:vMerge w:val="restart"/>
                  <w:tcBorders>
                    <w:tl2br w:val="nil"/>
                    <w:tr2bl w:val="nil"/>
                  </w:tcBorders>
                  <w:noWrap w:val="0"/>
                  <w:vAlign w:val="center"/>
                </w:tcPr>
                <w:p w14:paraId="65D747AC">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废气量m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/h</w:t>
                  </w:r>
                </w:p>
              </w:tc>
              <w:tc>
                <w:tcPr>
                  <w:tcW w:w="364" w:type="pct"/>
                  <w:vMerge w:val="restart"/>
                  <w:tcBorders>
                    <w:tl2br w:val="nil"/>
                    <w:tr2bl w:val="nil"/>
                  </w:tcBorders>
                  <w:noWrap w:val="0"/>
                  <w:vAlign w:val="center"/>
                </w:tcPr>
                <w:p w14:paraId="4454F8D5">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p w14:paraId="2A2AB4D9">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644" w:type="pct"/>
                  <w:vMerge w:val="restart"/>
                  <w:tcBorders>
                    <w:tl2br w:val="nil"/>
                    <w:tr2bl w:val="nil"/>
                  </w:tcBorders>
                  <w:noWrap w:val="0"/>
                  <w:vAlign w:val="center"/>
                </w:tcPr>
                <w:p w14:paraId="75CA7050">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治理措施</w:t>
                  </w:r>
                </w:p>
              </w:tc>
              <w:tc>
                <w:tcPr>
                  <w:tcW w:w="299" w:type="pct"/>
                  <w:vMerge w:val="restart"/>
                  <w:tcBorders>
                    <w:tl2br w:val="nil"/>
                    <w:tr2bl w:val="nil"/>
                  </w:tcBorders>
                  <w:noWrap w:val="0"/>
                  <w:vAlign w:val="center"/>
                </w:tcPr>
                <w:p w14:paraId="69BDC773">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去除率％</w:t>
                  </w:r>
                </w:p>
              </w:tc>
              <w:tc>
                <w:tcPr>
                  <w:tcW w:w="1219" w:type="pct"/>
                  <w:gridSpan w:val="3"/>
                  <w:tcBorders>
                    <w:tl2br w:val="nil"/>
                    <w:tr2bl w:val="nil"/>
                  </w:tcBorders>
                  <w:noWrap w:val="0"/>
                  <w:vAlign w:val="center"/>
                </w:tcPr>
                <w:p w14:paraId="6F92945E">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排放情况</w:t>
                  </w:r>
                </w:p>
              </w:tc>
              <w:tc>
                <w:tcPr>
                  <w:tcW w:w="763" w:type="pct"/>
                  <w:gridSpan w:val="2"/>
                  <w:tcBorders>
                    <w:tl2br w:val="nil"/>
                    <w:tr2bl w:val="nil"/>
                  </w:tcBorders>
                  <w:noWrap w:val="0"/>
                  <w:vAlign w:val="center"/>
                </w:tcPr>
                <w:p w14:paraId="41FD4DC3">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执行标准</w:t>
                  </w:r>
                </w:p>
              </w:tc>
              <w:tc>
                <w:tcPr>
                  <w:tcW w:w="719" w:type="pct"/>
                  <w:vMerge w:val="restart"/>
                  <w:tcBorders>
                    <w:tl2br w:val="nil"/>
                    <w:tr2bl w:val="nil"/>
                  </w:tcBorders>
                  <w:noWrap w:val="0"/>
                  <w:vAlign w:val="center"/>
                </w:tcPr>
                <w:p w14:paraId="49411F66">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排气筒名称及编号</w:t>
                  </w:r>
                </w:p>
              </w:tc>
              <w:tc>
                <w:tcPr>
                  <w:tcW w:w="355" w:type="pct"/>
                  <w:vMerge w:val="restart"/>
                  <w:tcBorders>
                    <w:tl2br w:val="nil"/>
                    <w:tr2bl w:val="nil"/>
                  </w:tcBorders>
                  <w:noWrap w:val="0"/>
                  <w:vAlign w:val="center"/>
                </w:tcPr>
                <w:p w14:paraId="15A23614">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w:t>
                  </w:r>
                </w:p>
                <w:p w14:paraId="17070E22">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方式</w:t>
                  </w:r>
                </w:p>
              </w:tc>
            </w:tr>
            <w:tr w14:paraId="74935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344" w:type="pct"/>
                  <w:vMerge w:val="continue"/>
                  <w:tcBorders>
                    <w:tl2br w:val="nil"/>
                    <w:tr2bl w:val="nil"/>
                  </w:tcBorders>
                  <w:noWrap w:val="0"/>
                  <w:vAlign w:val="center"/>
                </w:tcPr>
                <w:p w14:paraId="748B8480">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p>
              </w:tc>
              <w:tc>
                <w:tcPr>
                  <w:tcW w:w="288" w:type="pct"/>
                  <w:vMerge w:val="continue"/>
                  <w:tcBorders>
                    <w:tl2br w:val="nil"/>
                    <w:tr2bl w:val="nil"/>
                  </w:tcBorders>
                  <w:noWrap w:val="0"/>
                  <w:vAlign w:val="center"/>
                </w:tcPr>
                <w:p w14:paraId="2F30F142">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p>
              </w:tc>
              <w:tc>
                <w:tcPr>
                  <w:tcW w:w="364" w:type="pct"/>
                  <w:vMerge w:val="continue"/>
                  <w:tcBorders>
                    <w:tl2br w:val="nil"/>
                    <w:tr2bl w:val="nil"/>
                  </w:tcBorders>
                  <w:noWrap w:val="0"/>
                  <w:vAlign w:val="center"/>
                </w:tcPr>
                <w:p w14:paraId="3AE7A851">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p>
              </w:tc>
              <w:tc>
                <w:tcPr>
                  <w:tcW w:w="644" w:type="pct"/>
                  <w:vMerge w:val="continue"/>
                  <w:tcBorders>
                    <w:tl2br w:val="nil"/>
                    <w:tr2bl w:val="nil"/>
                  </w:tcBorders>
                  <w:noWrap w:val="0"/>
                  <w:vAlign w:val="center"/>
                </w:tcPr>
                <w:p w14:paraId="49114079">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p>
              </w:tc>
              <w:tc>
                <w:tcPr>
                  <w:tcW w:w="299" w:type="pct"/>
                  <w:vMerge w:val="continue"/>
                  <w:tcBorders>
                    <w:tl2br w:val="nil"/>
                    <w:tr2bl w:val="nil"/>
                  </w:tcBorders>
                  <w:noWrap w:val="0"/>
                  <w:vAlign w:val="center"/>
                </w:tcPr>
                <w:p w14:paraId="57B6C85E">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p>
              </w:tc>
              <w:tc>
                <w:tcPr>
                  <w:tcW w:w="411" w:type="pct"/>
                  <w:tcBorders>
                    <w:tl2br w:val="nil"/>
                    <w:tr2bl w:val="nil"/>
                  </w:tcBorders>
                  <w:noWrap w:val="0"/>
                  <w:vAlign w:val="center"/>
                </w:tcPr>
                <w:p w14:paraId="2558F2AB">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排放量t/a</w:t>
                  </w:r>
                </w:p>
              </w:tc>
              <w:tc>
                <w:tcPr>
                  <w:tcW w:w="379" w:type="pct"/>
                  <w:tcBorders>
                    <w:tl2br w:val="nil"/>
                    <w:tr2bl w:val="nil"/>
                  </w:tcBorders>
                  <w:noWrap w:val="0"/>
                  <w:vAlign w:val="center"/>
                </w:tcPr>
                <w:p w14:paraId="0BC2ED25">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速率kg/h</w:t>
                  </w:r>
                </w:p>
              </w:tc>
              <w:tc>
                <w:tcPr>
                  <w:tcW w:w="429" w:type="pct"/>
                  <w:tcBorders>
                    <w:tl2br w:val="nil"/>
                    <w:tr2bl w:val="nil"/>
                  </w:tcBorders>
                  <w:noWrap w:val="0"/>
                  <w:vAlign w:val="center"/>
                </w:tcPr>
                <w:p w14:paraId="6A79C281">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浓度mg/m</w:t>
                  </w:r>
                  <w:r>
                    <w:rPr>
                      <w:rFonts w:hint="default" w:ascii="Times New Roman" w:hAnsi="Times New Roman" w:eastAsia="宋体" w:cs="Times New Roman"/>
                      <w:b/>
                      <w:bCs/>
                      <w:color w:val="auto"/>
                      <w:sz w:val="21"/>
                      <w:szCs w:val="21"/>
                      <w:highlight w:val="none"/>
                      <w:vertAlign w:val="superscript"/>
                    </w:rPr>
                    <w:t>3</w:t>
                  </w:r>
                </w:p>
              </w:tc>
              <w:tc>
                <w:tcPr>
                  <w:tcW w:w="424" w:type="pct"/>
                  <w:tcBorders>
                    <w:tl2br w:val="nil"/>
                    <w:tr2bl w:val="nil"/>
                  </w:tcBorders>
                  <w:noWrap w:val="0"/>
                  <w:vAlign w:val="center"/>
                </w:tcPr>
                <w:p w14:paraId="128F64CC">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浓度mg/m</w:t>
                  </w:r>
                  <w:r>
                    <w:rPr>
                      <w:rFonts w:hint="default" w:ascii="Times New Roman" w:hAnsi="Times New Roman" w:eastAsia="宋体" w:cs="Times New Roman"/>
                      <w:b/>
                      <w:bCs/>
                      <w:color w:val="auto"/>
                      <w:sz w:val="21"/>
                      <w:szCs w:val="21"/>
                      <w:highlight w:val="none"/>
                      <w:vertAlign w:val="superscript"/>
                    </w:rPr>
                    <w:t>3</w:t>
                  </w:r>
                </w:p>
              </w:tc>
              <w:tc>
                <w:tcPr>
                  <w:tcW w:w="338" w:type="pct"/>
                  <w:tcBorders>
                    <w:tl2br w:val="nil"/>
                    <w:tr2bl w:val="nil"/>
                  </w:tcBorders>
                  <w:noWrap w:val="0"/>
                  <w:vAlign w:val="center"/>
                </w:tcPr>
                <w:p w14:paraId="246A1D32">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速率kg/h</w:t>
                  </w:r>
                </w:p>
              </w:tc>
              <w:tc>
                <w:tcPr>
                  <w:tcW w:w="719" w:type="pct"/>
                  <w:vMerge w:val="continue"/>
                  <w:tcBorders>
                    <w:tl2br w:val="nil"/>
                    <w:tr2bl w:val="nil"/>
                  </w:tcBorders>
                  <w:noWrap w:val="0"/>
                  <w:vAlign w:val="center"/>
                </w:tcPr>
                <w:p w14:paraId="0398CE1E">
                  <w:pPr>
                    <w:keepNext w:val="0"/>
                    <w:keepLines w:val="0"/>
                    <w:pageBreakBefore w:val="0"/>
                    <w:widowControl w:val="0"/>
                    <w:kinsoku/>
                    <w:wordWrap/>
                    <w:overflowPunct/>
                    <w:topLinePunct w:val="0"/>
                    <w:autoSpaceDE/>
                    <w:autoSpaceDN/>
                    <w:bidi w:val="0"/>
                    <w:adjustRightInd/>
                    <w:ind w:firstLine="0" w:firstLineChars="0"/>
                    <w:jc w:val="center"/>
                    <w:textAlignment w:val="auto"/>
                    <w:rPr>
                      <w:rFonts w:hint="default" w:ascii="Times New Roman" w:hAnsi="Times New Roman" w:eastAsia="宋体" w:cs="Times New Roman"/>
                      <w:b/>
                      <w:bCs/>
                      <w:color w:val="auto"/>
                      <w:sz w:val="21"/>
                      <w:szCs w:val="21"/>
                      <w:highlight w:val="none"/>
                    </w:rPr>
                  </w:pPr>
                </w:p>
              </w:tc>
              <w:tc>
                <w:tcPr>
                  <w:tcW w:w="355" w:type="pct"/>
                  <w:vMerge w:val="continue"/>
                  <w:tcBorders>
                    <w:tl2br w:val="nil"/>
                    <w:tr2bl w:val="nil"/>
                  </w:tcBorders>
                  <w:noWrap w:val="0"/>
                  <w:vAlign w:val="center"/>
                </w:tcPr>
                <w:p w14:paraId="3CF26DBC">
                  <w:pPr>
                    <w:keepNext w:val="0"/>
                    <w:keepLines w:val="0"/>
                    <w:pageBreakBefore w:val="0"/>
                    <w:widowControl w:val="0"/>
                    <w:kinsoku/>
                    <w:wordWrap/>
                    <w:overflowPunct/>
                    <w:topLinePunct w:val="0"/>
                    <w:autoSpaceDE/>
                    <w:autoSpaceDN/>
                    <w:bidi w:val="0"/>
                    <w:adjustRightInd/>
                    <w:ind w:firstLine="0" w:firstLineChars="0"/>
                    <w:contextualSpacing/>
                    <w:textAlignment w:val="auto"/>
                    <w:rPr>
                      <w:rFonts w:hint="default" w:ascii="Times New Roman" w:hAnsi="Times New Roman" w:eastAsia="宋体" w:cs="Times New Roman"/>
                      <w:b/>
                      <w:bCs/>
                      <w:color w:val="auto"/>
                      <w:sz w:val="21"/>
                      <w:szCs w:val="21"/>
                      <w:highlight w:val="none"/>
                    </w:rPr>
                  </w:pPr>
                </w:p>
              </w:tc>
            </w:tr>
            <w:tr w14:paraId="77493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344" w:type="pct"/>
                  <w:tcBorders>
                    <w:tl2br w:val="nil"/>
                    <w:tr2bl w:val="nil"/>
                  </w:tcBorders>
                  <w:noWrap w:val="0"/>
                  <w:vAlign w:val="center"/>
                </w:tcPr>
                <w:p w14:paraId="133257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投料粉尘G1</w:t>
                  </w:r>
                </w:p>
              </w:tc>
              <w:tc>
                <w:tcPr>
                  <w:tcW w:w="288" w:type="pct"/>
                  <w:vMerge w:val="restart"/>
                  <w:tcBorders>
                    <w:tl2br w:val="nil"/>
                    <w:tr2bl w:val="nil"/>
                  </w:tcBorders>
                  <w:noWrap w:val="0"/>
                  <w:vAlign w:val="center"/>
                </w:tcPr>
                <w:p w14:paraId="4829B2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7</w:t>
                  </w:r>
                  <w:r>
                    <w:rPr>
                      <w:rFonts w:hint="default" w:ascii="Times New Roman" w:hAnsi="Times New Roman" w:eastAsia="宋体" w:cs="Times New Roman"/>
                      <w:i w:val="0"/>
                      <w:iCs w:val="0"/>
                      <w:color w:val="auto"/>
                      <w:kern w:val="0"/>
                      <w:sz w:val="21"/>
                      <w:szCs w:val="21"/>
                      <w:u w:val="none"/>
                      <w:lang w:val="en-US" w:eastAsia="zh-CN" w:bidi="ar"/>
                    </w:rPr>
                    <w:t>000</w:t>
                  </w:r>
                </w:p>
              </w:tc>
              <w:tc>
                <w:tcPr>
                  <w:tcW w:w="364" w:type="pct"/>
                  <w:tcBorders>
                    <w:tl2br w:val="nil"/>
                    <w:tr2bl w:val="nil"/>
                  </w:tcBorders>
                  <w:noWrap w:val="0"/>
                  <w:vAlign w:val="center"/>
                </w:tcPr>
                <w:p w14:paraId="172D48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bidi="ar-SA"/>
                    </w:rPr>
                    <w:t>颗粒物</w:t>
                  </w:r>
                </w:p>
              </w:tc>
              <w:tc>
                <w:tcPr>
                  <w:tcW w:w="644" w:type="pct"/>
                  <w:vMerge w:val="restart"/>
                  <w:tcBorders>
                    <w:tl2br w:val="nil"/>
                    <w:tr2bl w:val="nil"/>
                  </w:tcBorders>
                  <w:noWrap w:val="0"/>
                  <w:vAlign w:val="center"/>
                </w:tcPr>
                <w:p w14:paraId="062751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布袋除尘器+</w:t>
                  </w:r>
                  <w:r>
                    <w:rPr>
                      <w:rFonts w:hint="default" w:ascii="Times New Roman" w:hAnsi="Times New Roman" w:eastAsia="宋体" w:cs="Times New Roman"/>
                      <w:i w:val="0"/>
                      <w:iCs w:val="0"/>
                      <w:color w:val="auto"/>
                      <w:kern w:val="0"/>
                      <w:sz w:val="21"/>
                      <w:szCs w:val="21"/>
                      <w:u w:val="none"/>
                      <w:lang w:val="en-US" w:eastAsia="zh-CN" w:bidi="ar"/>
                    </w:rPr>
                    <w:t>二级活性炭吸附装置</w:t>
                  </w:r>
                </w:p>
              </w:tc>
              <w:tc>
                <w:tcPr>
                  <w:tcW w:w="299" w:type="pct"/>
                  <w:tcBorders>
                    <w:tl2br w:val="nil"/>
                    <w:tr2bl w:val="nil"/>
                  </w:tcBorders>
                  <w:noWrap w:val="0"/>
                  <w:vAlign w:val="center"/>
                </w:tcPr>
                <w:p w14:paraId="10D174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95</w:t>
                  </w:r>
                </w:p>
              </w:tc>
              <w:tc>
                <w:tcPr>
                  <w:tcW w:w="411" w:type="pct"/>
                  <w:tcBorders>
                    <w:tl2br w:val="nil"/>
                    <w:tr2bl w:val="nil"/>
                  </w:tcBorders>
                  <w:noWrap w:val="0"/>
                  <w:vAlign w:val="center"/>
                </w:tcPr>
                <w:p w14:paraId="107AB2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56</w:t>
                  </w:r>
                </w:p>
              </w:tc>
              <w:tc>
                <w:tcPr>
                  <w:tcW w:w="379" w:type="pct"/>
                  <w:tcBorders>
                    <w:tl2br w:val="nil"/>
                    <w:tr2bl w:val="nil"/>
                  </w:tcBorders>
                  <w:noWrap w:val="0"/>
                  <w:vAlign w:val="center"/>
                </w:tcPr>
                <w:p w14:paraId="63F01C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429" w:type="pct"/>
                  <w:tcBorders>
                    <w:tl2br w:val="nil"/>
                    <w:tr2bl w:val="nil"/>
                  </w:tcBorders>
                  <w:noWrap w:val="0"/>
                  <w:vAlign w:val="center"/>
                </w:tcPr>
                <w:p w14:paraId="7CA36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4</w:t>
                  </w:r>
                </w:p>
              </w:tc>
              <w:tc>
                <w:tcPr>
                  <w:tcW w:w="424" w:type="pct"/>
                  <w:tcBorders>
                    <w:tl2br w:val="nil"/>
                    <w:tr2bl w:val="nil"/>
                  </w:tcBorders>
                  <w:noWrap w:val="0"/>
                  <w:vAlign w:val="center"/>
                </w:tcPr>
                <w:p w14:paraId="19CC32E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highlight w:val="none"/>
                      <w:lang w:val="en-US" w:eastAsia="zh-CN"/>
                    </w:rPr>
                    <w:t>15</w:t>
                  </w:r>
                </w:p>
              </w:tc>
              <w:tc>
                <w:tcPr>
                  <w:tcW w:w="338" w:type="pct"/>
                  <w:tcBorders>
                    <w:tl2br w:val="nil"/>
                    <w:tr2bl w:val="nil"/>
                  </w:tcBorders>
                  <w:noWrap w:val="0"/>
                  <w:vAlign w:val="center"/>
                </w:tcPr>
                <w:p w14:paraId="7D414C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kern w:val="2"/>
                      <w:sz w:val="21"/>
                      <w:szCs w:val="21"/>
                      <w:highlight w:val="none"/>
                      <w:lang w:val="en-US" w:eastAsia="zh-CN" w:bidi="ar-SA"/>
                    </w:rPr>
                    <w:t>0.51</w:t>
                  </w:r>
                </w:p>
              </w:tc>
              <w:tc>
                <w:tcPr>
                  <w:tcW w:w="719" w:type="pct"/>
                  <w:vMerge w:val="restart"/>
                  <w:tcBorders>
                    <w:tl2br w:val="nil"/>
                    <w:tr2bl w:val="nil"/>
                  </w:tcBorders>
                  <w:noWrap w:val="0"/>
                  <w:vAlign w:val="center"/>
                </w:tcPr>
                <w:p w14:paraId="044228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8</w:t>
                  </w:r>
                  <w:r>
                    <w:rPr>
                      <w:rFonts w:hint="default" w:ascii="Times New Roman" w:hAnsi="Times New Roman" w:eastAsia="宋体" w:cs="Times New Roman"/>
                      <w:i w:val="0"/>
                      <w:iCs w:val="0"/>
                      <w:color w:val="auto"/>
                      <w:kern w:val="0"/>
                      <w:sz w:val="21"/>
                      <w:szCs w:val="21"/>
                      <w:u w:val="none"/>
                      <w:lang w:val="en-US" w:eastAsia="zh-CN" w:bidi="ar"/>
                    </w:rPr>
                    <w:t>m高排气筒DA001</w:t>
                  </w:r>
                </w:p>
              </w:tc>
              <w:tc>
                <w:tcPr>
                  <w:tcW w:w="355" w:type="pct"/>
                  <w:vMerge w:val="restart"/>
                  <w:tcBorders>
                    <w:tl2br w:val="nil"/>
                    <w:tr2bl w:val="nil"/>
                  </w:tcBorders>
                  <w:noWrap w:val="0"/>
                  <w:vAlign w:val="center"/>
                </w:tcPr>
                <w:p w14:paraId="3A9E82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2400h</w:t>
                  </w:r>
                </w:p>
              </w:tc>
            </w:tr>
            <w:tr w14:paraId="66A67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119" w:hRule="atLeast"/>
                <w:jc w:val="center"/>
              </w:trPr>
              <w:tc>
                <w:tcPr>
                  <w:tcW w:w="344" w:type="pct"/>
                  <w:tcBorders>
                    <w:tl2br w:val="nil"/>
                    <w:tr2bl w:val="nil"/>
                  </w:tcBorders>
                  <w:noWrap w:val="0"/>
                  <w:vAlign w:val="center"/>
                </w:tcPr>
                <w:p w14:paraId="0FA80D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挤出废气G2</w:t>
                  </w:r>
                </w:p>
              </w:tc>
              <w:tc>
                <w:tcPr>
                  <w:tcW w:w="288" w:type="pct"/>
                  <w:vMerge w:val="continue"/>
                  <w:tcBorders>
                    <w:tl2br w:val="nil"/>
                    <w:tr2bl w:val="nil"/>
                  </w:tcBorders>
                  <w:noWrap w:val="0"/>
                  <w:vAlign w:val="center"/>
                </w:tcPr>
                <w:p w14:paraId="3E4B25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364" w:type="pct"/>
                  <w:tcBorders>
                    <w:tl2br w:val="nil"/>
                    <w:tr2bl w:val="nil"/>
                  </w:tcBorders>
                  <w:noWrap w:val="0"/>
                  <w:vAlign w:val="center"/>
                </w:tcPr>
                <w:p w14:paraId="235517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2"/>
                      <w:sz w:val="21"/>
                      <w:szCs w:val="21"/>
                      <w:lang w:val="en-US" w:eastAsia="zh-CN" w:bidi="ar-SA"/>
                    </w:rPr>
                    <w:t>非甲烷总烃</w:t>
                  </w:r>
                </w:p>
              </w:tc>
              <w:tc>
                <w:tcPr>
                  <w:tcW w:w="644" w:type="pct"/>
                  <w:vMerge w:val="continue"/>
                  <w:tcBorders>
                    <w:tl2br w:val="nil"/>
                    <w:tr2bl w:val="nil"/>
                  </w:tcBorders>
                  <w:noWrap w:val="0"/>
                  <w:vAlign w:val="center"/>
                </w:tcPr>
                <w:p w14:paraId="6366DE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299" w:type="pct"/>
                  <w:tcBorders>
                    <w:tl2br w:val="nil"/>
                    <w:tr2bl w:val="nil"/>
                  </w:tcBorders>
                  <w:noWrap w:val="0"/>
                  <w:vAlign w:val="center"/>
                </w:tcPr>
                <w:p w14:paraId="200148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411" w:type="pct"/>
                  <w:tcBorders>
                    <w:tl2br w:val="nil"/>
                    <w:tr2bl w:val="nil"/>
                  </w:tcBorders>
                  <w:noWrap w:val="0"/>
                  <w:vAlign w:val="center"/>
                </w:tcPr>
                <w:p w14:paraId="1ED019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1.31</w:t>
                  </w:r>
                </w:p>
              </w:tc>
              <w:tc>
                <w:tcPr>
                  <w:tcW w:w="379" w:type="pct"/>
                  <w:tcBorders>
                    <w:tl2br w:val="nil"/>
                    <w:tr2bl w:val="nil"/>
                  </w:tcBorders>
                  <w:noWrap w:val="0"/>
                  <w:vAlign w:val="center"/>
                </w:tcPr>
                <w:p w14:paraId="0E7632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429" w:type="pct"/>
                  <w:tcBorders>
                    <w:tl2br w:val="nil"/>
                    <w:tr2bl w:val="nil"/>
                  </w:tcBorders>
                  <w:noWrap w:val="0"/>
                  <w:vAlign w:val="center"/>
                </w:tcPr>
                <w:p w14:paraId="1F3780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424" w:type="pct"/>
                  <w:tcBorders>
                    <w:tl2br w:val="nil"/>
                    <w:tr2bl w:val="nil"/>
                  </w:tcBorders>
                  <w:noWrap w:val="0"/>
                  <w:vAlign w:val="center"/>
                </w:tcPr>
                <w:p w14:paraId="665977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338" w:type="pct"/>
                  <w:tcBorders>
                    <w:tl2br w:val="nil"/>
                    <w:tr2bl w:val="nil"/>
                  </w:tcBorders>
                  <w:noWrap w:val="0"/>
                  <w:vAlign w:val="center"/>
                </w:tcPr>
                <w:p w14:paraId="20DDB7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w:t>
                  </w:r>
                </w:p>
              </w:tc>
              <w:tc>
                <w:tcPr>
                  <w:tcW w:w="719" w:type="pct"/>
                  <w:vMerge w:val="continue"/>
                  <w:tcBorders>
                    <w:tl2br w:val="nil"/>
                    <w:tr2bl w:val="nil"/>
                  </w:tcBorders>
                  <w:noWrap w:val="0"/>
                  <w:vAlign w:val="center"/>
                </w:tcPr>
                <w:p w14:paraId="51DE9B96">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color w:val="auto"/>
                      <w:sz w:val="21"/>
                      <w:szCs w:val="21"/>
                      <w:highlight w:val="none"/>
                      <w:lang w:val="en-US" w:eastAsia="zh-CN"/>
                    </w:rPr>
                  </w:pPr>
                </w:p>
              </w:tc>
              <w:tc>
                <w:tcPr>
                  <w:tcW w:w="355" w:type="pct"/>
                  <w:vMerge w:val="continue"/>
                  <w:tcBorders>
                    <w:tl2br w:val="nil"/>
                    <w:tr2bl w:val="nil"/>
                  </w:tcBorders>
                  <w:noWrap w:val="0"/>
                  <w:vAlign w:val="center"/>
                </w:tcPr>
                <w:p w14:paraId="442B280A">
                  <w:pPr>
                    <w:keepNext w:val="0"/>
                    <w:keepLines w:val="0"/>
                    <w:pageBreakBefore w:val="0"/>
                    <w:widowControl w:val="0"/>
                    <w:kinsoku/>
                    <w:wordWrap/>
                    <w:overflowPunct/>
                    <w:topLinePunct w:val="0"/>
                    <w:autoSpaceDE/>
                    <w:autoSpaceDN/>
                    <w:bidi w:val="0"/>
                    <w:adjustRightInd/>
                    <w:ind w:firstLine="0" w:firstLineChars="0"/>
                    <w:contextualSpacing/>
                    <w:jc w:val="center"/>
                    <w:textAlignment w:val="auto"/>
                    <w:rPr>
                      <w:rFonts w:hint="default" w:ascii="Times New Roman" w:hAnsi="Times New Roman" w:eastAsia="宋体" w:cs="Times New Roman"/>
                      <w:bCs/>
                      <w:color w:val="auto"/>
                      <w:sz w:val="21"/>
                      <w:szCs w:val="21"/>
                      <w:highlight w:val="none"/>
                    </w:rPr>
                  </w:pPr>
                </w:p>
              </w:tc>
            </w:tr>
          </w:tbl>
          <w:p w14:paraId="38821333">
            <w:pPr>
              <w:keepNext/>
              <w:keepLines/>
              <w:ind w:firstLine="0" w:firstLineChars="0"/>
              <w:outlineLvl w:val="1"/>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2.4.2厂界废气达标分析</w:t>
            </w:r>
          </w:p>
          <w:p w14:paraId="1D790721">
            <w:pPr>
              <w:numPr>
                <w:ilvl w:val="0"/>
                <w:numId w:val="0"/>
              </w:numPr>
              <w:ind w:left="420" w:leftChars="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本项目无组织</w:t>
            </w:r>
            <w:r>
              <w:rPr>
                <w:rFonts w:hint="default" w:ascii="Times New Roman" w:hAnsi="Times New Roman" w:eastAsia="宋体" w:cs="Times New Roman"/>
                <w:color w:val="auto"/>
                <w:sz w:val="24"/>
                <w:szCs w:val="24"/>
              </w:rPr>
              <w:t>废气</w:t>
            </w:r>
            <w:r>
              <w:rPr>
                <w:rFonts w:hint="default" w:ascii="Times New Roman" w:hAnsi="Times New Roman" w:eastAsia="宋体" w:cs="Times New Roman"/>
                <w:bCs/>
                <w:color w:val="auto"/>
                <w:sz w:val="24"/>
                <w:highlight w:val="none"/>
              </w:rPr>
              <w:t>排放情况</w:t>
            </w:r>
            <w:r>
              <w:rPr>
                <w:rFonts w:hint="default" w:ascii="Times New Roman" w:hAnsi="Times New Roman" w:eastAsia="宋体" w:cs="Times New Roman"/>
                <w:color w:val="auto"/>
                <w:sz w:val="24"/>
                <w:szCs w:val="24"/>
              </w:rPr>
              <w:t>见下表</w:t>
            </w:r>
            <w:r>
              <w:rPr>
                <w:rFonts w:hint="eastAsia"/>
                <w:color w:val="auto"/>
                <w:lang w:eastAsia="zh-CN"/>
              </w:rPr>
              <w:t>。</w:t>
            </w:r>
          </w:p>
          <w:p w14:paraId="09CBF888">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 xml:space="preserve">11 </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无组织</w:t>
            </w:r>
            <w:r>
              <w:rPr>
                <w:rFonts w:hint="default" w:ascii="Times New Roman" w:hAnsi="Times New Roman" w:eastAsia="宋体" w:cs="Times New Roman"/>
                <w:b/>
                <w:bCs/>
                <w:color w:val="auto"/>
                <w:sz w:val="21"/>
                <w:szCs w:val="21"/>
              </w:rPr>
              <w:t>废气排放情况一览表</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面</w:t>
            </w:r>
            <w:r>
              <w:rPr>
                <w:rFonts w:hint="default" w:ascii="Times New Roman" w:hAnsi="Times New Roman" w:eastAsia="宋体" w:cs="Times New Roman"/>
                <w:b/>
                <w:bCs/>
                <w:color w:val="auto"/>
                <w:sz w:val="21"/>
                <w:szCs w:val="21"/>
              </w:rPr>
              <w:t>源</w:t>
            </w:r>
            <w:r>
              <w:rPr>
                <w:rFonts w:hint="default" w:ascii="Times New Roman" w:hAnsi="Times New Roman" w:eastAsia="宋体" w:cs="Times New Roman"/>
                <w:b/>
                <w:bCs/>
                <w:color w:val="auto"/>
                <w:sz w:val="21"/>
                <w:szCs w:val="21"/>
                <w:lang w:eastAsia="zh-CN"/>
              </w:rPr>
              <w:t>）</w:t>
            </w:r>
          </w:p>
          <w:tbl>
            <w:tblPr>
              <w:tblStyle w:val="44"/>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84"/>
              <w:gridCol w:w="1369"/>
              <w:gridCol w:w="860"/>
              <w:gridCol w:w="1061"/>
              <w:gridCol w:w="1013"/>
              <w:gridCol w:w="939"/>
              <w:gridCol w:w="1065"/>
              <w:gridCol w:w="1063"/>
              <w:gridCol w:w="1063"/>
            </w:tblGrid>
            <w:tr w14:paraId="1BBE8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654" w:hRule="atLeast"/>
              </w:trPr>
              <w:tc>
                <w:tcPr>
                  <w:tcW w:w="425" w:type="pct"/>
                  <w:noWrap w:val="0"/>
                  <w:vAlign w:val="center"/>
                </w:tcPr>
                <w:p w14:paraId="490659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面源名称</w:t>
                  </w:r>
                </w:p>
              </w:tc>
              <w:tc>
                <w:tcPr>
                  <w:tcW w:w="742" w:type="pct"/>
                  <w:noWrap w:val="0"/>
                  <w:vAlign w:val="center"/>
                </w:tcPr>
                <w:p w14:paraId="29E0B9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污染物产生环节</w:t>
                  </w:r>
                </w:p>
              </w:tc>
              <w:tc>
                <w:tcPr>
                  <w:tcW w:w="466" w:type="pct"/>
                  <w:noWrap w:val="0"/>
                  <w:vAlign w:val="center"/>
                </w:tcPr>
                <w:p w14:paraId="2CF52B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w:t>
                  </w:r>
                </w:p>
                <w:p w14:paraId="16FA28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名称</w:t>
                  </w:r>
                </w:p>
              </w:tc>
              <w:tc>
                <w:tcPr>
                  <w:tcW w:w="575" w:type="pct"/>
                  <w:noWrap w:val="0"/>
                  <w:vAlign w:val="center"/>
                </w:tcPr>
                <w:p w14:paraId="696051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污染物产生量t/a</w:t>
                  </w:r>
                </w:p>
              </w:tc>
              <w:tc>
                <w:tcPr>
                  <w:tcW w:w="549" w:type="pct"/>
                  <w:noWrap w:val="0"/>
                  <w:vAlign w:val="center"/>
                </w:tcPr>
                <w:p w14:paraId="7E8321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治理措施</w:t>
                  </w:r>
                </w:p>
              </w:tc>
              <w:tc>
                <w:tcPr>
                  <w:tcW w:w="509" w:type="pct"/>
                  <w:noWrap w:val="0"/>
                  <w:vAlign w:val="center"/>
                </w:tcPr>
                <w:p w14:paraId="7D474C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污染物排放量t/a</w:t>
                  </w:r>
                </w:p>
              </w:tc>
              <w:tc>
                <w:tcPr>
                  <w:tcW w:w="577" w:type="pct"/>
                  <w:noWrap w:val="0"/>
                  <w:vAlign w:val="center"/>
                </w:tcPr>
                <w:p w14:paraId="060674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排放速率kg/h</w:t>
                  </w:r>
                </w:p>
              </w:tc>
              <w:tc>
                <w:tcPr>
                  <w:tcW w:w="576" w:type="pct"/>
                  <w:noWrap w:val="0"/>
                  <w:vAlign w:val="center"/>
                </w:tcPr>
                <w:p w14:paraId="29AE50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面源面积（m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p>
              </w:tc>
              <w:tc>
                <w:tcPr>
                  <w:tcW w:w="576" w:type="pct"/>
                  <w:noWrap w:val="0"/>
                  <w:vAlign w:val="center"/>
                </w:tcPr>
                <w:p w14:paraId="40ADA2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面源高度（m）</w:t>
                  </w:r>
                </w:p>
              </w:tc>
            </w:tr>
            <w:tr w14:paraId="3A850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restart"/>
                  <w:noWrap w:val="0"/>
                  <w:vAlign w:val="center"/>
                </w:tcPr>
                <w:p w14:paraId="42E00A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生产车间</w:t>
                  </w:r>
                </w:p>
              </w:tc>
              <w:tc>
                <w:tcPr>
                  <w:tcW w:w="742" w:type="pct"/>
                  <w:noWrap w:val="0"/>
                  <w:vAlign w:val="center"/>
                </w:tcPr>
                <w:p w14:paraId="6624C6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未被捕集的投料粉尘</w:t>
                  </w:r>
                </w:p>
              </w:tc>
              <w:tc>
                <w:tcPr>
                  <w:tcW w:w="466" w:type="pct"/>
                  <w:noWrap w:val="0"/>
                  <w:vAlign w:val="center"/>
                </w:tcPr>
                <w:p w14:paraId="059E3C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75" w:type="pct"/>
                  <w:noWrap w:val="0"/>
                  <w:vAlign w:val="center"/>
                </w:tcPr>
                <w:p w14:paraId="55A4B8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06</w:t>
                  </w:r>
                </w:p>
              </w:tc>
              <w:tc>
                <w:tcPr>
                  <w:tcW w:w="549" w:type="pct"/>
                  <w:vMerge w:val="restart"/>
                  <w:noWrap w:val="0"/>
                  <w:vAlign w:val="center"/>
                </w:tcPr>
                <w:p w14:paraId="3C4312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源头治理，加强管理</w:t>
                  </w:r>
                </w:p>
              </w:tc>
              <w:tc>
                <w:tcPr>
                  <w:tcW w:w="509" w:type="pct"/>
                  <w:noWrap w:val="0"/>
                  <w:vAlign w:val="center"/>
                </w:tcPr>
                <w:p w14:paraId="0E3441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06</w:t>
                  </w:r>
                </w:p>
              </w:tc>
              <w:tc>
                <w:tcPr>
                  <w:tcW w:w="577" w:type="pct"/>
                  <w:noWrap w:val="0"/>
                  <w:vAlign w:val="center"/>
                </w:tcPr>
                <w:p w14:paraId="1463C4BC">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lang w:val="en-US" w:eastAsia="zh-CN"/>
                    </w:rPr>
                    <w:t>0.025</w:t>
                  </w:r>
                </w:p>
              </w:tc>
              <w:tc>
                <w:tcPr>
                  <w:tcW w:w="576" w:type="pct"/>
                  <w:vMerge w:val="restart"/>
                  <w:noWrap w:val="0"/>
                  <w:vAlign w:val="center"/>
                </w:tcPr>
                <w:p w14:paraId="23E6A1A1">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1056</w:t>
                  </w:r>
                </w:p>
              </w:tc>
              <w:tc>
                <w:tcPr>
                  <w:tcW w:w="576" w:type="pct"/>
                  <w:vMerge w:val="restart"/>
                  <w:noWrap w:val="0"/>
                  <w:vAlign w:val="center"/>
                </w:tcPr>
                <w:p w14:paraId="62911747">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15</w:t>
                  </w:r>
                </w:p>
              </w:tc>
            </w:tr>
            <w:tr w14:paraId="38557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continue"/>
                  <w:noWrap w:val="0"/>
                  <w:vAlign w:val="center"/>
                </w:tcPr>
                <w:p w14:paraId="0D2E55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42" w:type="pct"/>
                  <w:noWrap w:val="0"/>
                  <w:vAlign w:val="center"/>
                </w:tcPr>
                <w:p w14:paraId="388D17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未被捕集的挤出废气</w:t>
                  </w:r>
                </w:p>
              </w:tc>
              <w:tc>
                <w:tcPr>
                  <w:tcW w:w="466" w:type="pct"/>
                  <w:noWrap w:val="0"/>
                  <w:vAlign w:val="center"/>
                </w:tcPr>
                <w:p w14:paraId="0C8528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575" w:type="pct"/>
                  <w:noWrap w:val="0"/>
                  <w:vAlign w:val="center"/>
                </w:tcPr>
                <w:p w14:paraId="735ECB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549" w:type="pct"/>
                  <w:vMerge w:val="continue"/>
                  <w:noWrap w:val="0"/>
                  <w:vAlign w:val="center"/>
                </w:tcPr>
                <w:p w14:paraId="40DD8E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09" w:type="pct"/>
                  <w:noWrap w:val="0"/>
                  <w:vAlign w:val="center"/>
                </w:tcPr>
                <w:p w14:paraId="52E4AF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577" w:type="pct"/>
                  <w:noWrap w:val="0"/>
                  <w:vAlign w:val="center"/>
                </w:tcPr>
                <w:p w14:paraId="51255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0.008</w:t>
                  </w:r>
                </w:p>
              </w:tc>
              <w:tc>
                <w:tcPr>
                  <w:tcW w:w="576" w:type="pct"/>
                  <w:vMerge w:val="continue"/>
                  <w:noWrap w:val="0"/>
                  <w:vAlign w:val="center"/>
                </w:tcPr>
                <w:p w14:paraId="2598AA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76" w:type="pct"/>
                  <w:vMerge w:val="continue"/>
                  <w:noWrap w:val="0"/>
                  <w:vAlign w:val="center"/>
                </w:tcPr>
                <w:p w14:paraId="0AAE83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42AD7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continue"/>
                  <w:noWrap w:val="0"/>
                  <w:vAlign w:val="center"/>
                </w:tcPr>
                <w:p w14:paraId="40F571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42" w:type="pct"/>
                  <w:noWrap w:val="0"/>
                  <w:vAlign w:val="center"/>
                </w:tcPr>
                <w:p w14:paraId="189085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破碎粉尘</w:t>
                  </w:r>
                </w:p>
              </w:tc>
              <w:tc>
                <w:tcPr>
                  <w:tcW w:w="466" w:type="pct"/>
                  <w:noWrap w:val="0"/>
                  <w:vAlign w:val="center"/>
                </w:tcPr>
                <w:p w14:paraId="52E544D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75" w:type="pct"/>
                  <w:noWrap w:val="0"/>
                  <w:vAlign w:val="center"/>
                </w:tcPr>
                <w:p w14:paraId="5ED7A9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49" w:type="pct"/>
                  <w:noWrap w:val="0"/>
                  <w:vAlign w:val="center"/>
                </w:tcPr>
                <w:p w14:paraId="6CEC99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设备自带的布袋除尘器</w:t>
                  </w:r>
                </w:p>
              </w:tc>
              <w:tc>
                <w:tcPr>
                  <w:tcW w:w="509" w:type="pct"/>
                  <w:shd w:val="clear" w:color="auto" w:fill="auto"/>
                  <w:noWrap w:val="0"/>
                  <w:vAlign w:val="center"/>
                </w:tcPr>
                <w:p w14:paraId="2C4E01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7" w:type="pct"/>
                  <w:noWrap w:val="0"/>
                  <w:vAlign w:val="center"/>
                </w:tcPr>
                <w:p w14:paraId="238660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6" w:type="pct"/>
                  <w:vMerge w:val="continue"/>
                  <w:noWrap w:val="0"/>
                  <w:vAlign w:val="center"/>
                </w:tcPr>
                <w:p w14:paraId="1AB1F3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76" w:type="pct"/>
                  <w:vMerge w:val="continue"/>
                  <w:noWrap w:val="0"/>
                  <w:vAlign w:val="center"/>
                </w:tcPr>
                <w:p w14:paraId="791DC5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39F29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continue"/>
                  <w:noWrap w:val="0"/>
                  <w:vAlign w:val="center"/>
                </w:tcPr>
                <w:p w14:paraId="6EDF3D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42" w:type="pct"/>
                  <w:noWrap w:val="0"/>
                  <w:vAlign w:val="center"/>
                </w:tcPr>
                <w:p w14:paraId="1224B4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整平粉尘</w:t>
                  </w:r>
                </w:p>
              </w:tc>
              <w:tc>
                <w:tcPr>
                  <w:tcW w:w="466" w:type="pct"/>
                  <w:noWrap w:val="0"/>
                  <w:vAlign w:val="center"/>
                </w:tcPr>
                <w:p w14:paraId="7F22C8E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75" w:type="pct"/>
                  <w:noWrap w:val="0"/>
                  <w:vAlign w:val="center"/>
                </w:tcPr>
                <w:p w14:paraId="1D4C40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49" w:type="pct"/>
                  <w:noWrap w:val="0"/>
                  <w:vAlign w:val="center"/>
                </w:tcPr>
                <w:p w14:paraId="1CE98D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设备自带的布袋除尘器</w:t>
                  </w:r>
                </w:p>
              </w:tc>
              <w:tc>
                <w:tcPr>
                  <w:tcW w:w="509" w:type="pct"/>
                  <w:shd w:val="clear" w:color="auto" w:fill="auto"/>
                  <w:noWrap w:val="0"/>
                  <w:vAlign w:val="center"/>
                </w:tcPr>
                <w:p w14:paraId="3103CB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7" w:type="pct"/>
                  <w:noWrap w:val="0"/>
                  <w:vAlign w:val="center"/>
                </w:tcPr>
                <w:p w14:paraId="1DBBE9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6" w:type="pct"/>
                  <w:vMerge w:val="continue"/>
                  <w:noWrap w:val="0"/>
                  <w:vAlign w:val="center"/>
                </w:tcPr>
                <w:p w14:paraId="4E2575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76" w:type="pct"/>
                  <w:vMerge w:val="continue"/>
                  <w:noWrap w:val="0"/>
                  <w:vAlign w:val="center"/>
                </w:tcPr>
                <w:p w14:paraId="575448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27EB1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restart"/>
                  <w:noWrap w:val="0"/>
                  <w:vAlign w:val="center"/>
                </w:tcPr>
                <w:p w14:paraId="263FED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742" w:type="pct"/>
                  <w:noWrap w:val="0"/>
                  <w:vAlign w:val="center"/>
                </w:tcPr>
                <w:p w14:paraId="0D90EE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466" w:type="pct"/>
                  <w:noWrap w:val="0"/>
                  <w:vAlign w:val="center"/>
                </w:tcPr>
                <w:p w14:paraId="1A1AEF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575" w:type="pct"/>
                  <w:noWrap w:val="0"/>
                  <w:vAlign w:val="center"/>
                </w:tcPr>
                <w:p w14:paraId="5EA95E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06</w:t>
                  </w:r>
                </w:p>
              </w:tc>
              <w:tc>
                <w:tcPr>
                  <w:tcW w:w="549" w:type="pct"/>
                  <w:noWrap w:val="0"/>
                  <w:vAlign w:val="center"/>
                </w:tcPr>
                <w:p w14:paraId="423354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09" w:type="pct"/>
                  <w:shd w:val="clear" w:color="auto" w:fill="auto"/>
                  <w:noWrap w:val="0"/>
                  <w:vAlign w:val="center"/>
                </w:tcPr>
                <w:p w14:paraId="5BF91B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06</w:t>
                  </w:r>
                </w:p>
              </w:tc>
              <w:tc>
                <w:tcPr>
                  <w:tcW w:w="577" w:type="pct"/>
                  <w:noWrap w:val="0"/>
                  <w:vAlign w:val="center"/>
                </w:tcPr>
                <w:p w14:paraId="57E489E9">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lang w:val="en-US" w:eastAsia="zh-CN"/>
                    </w:rPr>
                    <w:t>0.025</w:t>
                  </w:r>
                </w:p>
              </w:tc>
              <w:tc>
                <w:tcPr>
                  <w:tcW w:w="576" w:type="pct"/>
                  <w:vMerge w:val="continue"/>
                  <w:noWrap w:val="0"/>
                  <w:vAlign w:val="center"/>
                </w:tcPr>
                <w:p w14:paraId="141701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76" w:type="pct"/>
                  <w:vMerge w:val="continue"/>
                  <w:noWrap w:val="0"/>
                  <w:vAlign w:val="center"/>
                </w:tcPr>
                <w:p w14:paraId="0CCD5B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14:paraId="5D200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37" w:hRule="atLeast"/>
              </w:trPr>
              <w:tc>
                <w:tcPr>
                  <w:tcW w:w="425" w:type="pct"/>
                  <w:vMerge w:val="continue"/>
                  <w:noWrap w:val="0"/>
                  <w:vAlign w:val="center"/>
                </w:tcPr>
                <w:p w14:paraId="4A5D67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42" w:type="pct"/>
                  <w:noWrap w:val="0"/>
                  <w:vAlign w:val="center"/>
                </w:tcPr>
                <w:p w14:paraId="4A26D1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466" w:type="pct"/>
                  <w:noWrap w:val="0"/>
                  <w:vAlign w:val="center"/>
                </w:tcPr>
                <w:p w14:paraId="412D51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575" w:type="pct"/>
                  <w:noWrap w:val="0"/>
                  <w:vAlign w:val="center"/>
                </w:tcPr>
                <w:p w14:paraId="68E9E0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549" w:type="pct"/>
                  <w:noWrap w:val="0"/>
                  <w:vAlign w:val="center"/>
                </w:tcPr>
                <w:p w14:paraId="72FA8D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09" w:type="pct"/>
                  <w:shd w:val="clear" w:color="auto" w:fill="auto"/>
                  <w:noWrap w:val="0"/>
                  <w:vAlign w:val="center"/>
                </w:tcPr>
                <w:p w14:paraId="2FF0D7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577" w:type="pct"/>
                  <w:noWrap w:val="0"/>
                  <w:vAlign w:val="center"/>
                </w:tcPr>
                <w:p w14:paraId="30C72D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0.008</w:t>
                  </w:r>
                </w:p>
              </w:tc>
              <w:tc>
                <w:tcPr>
                  <w:tcW w:w="576" w:type="pct"/>
                  <w:vMerge w:val="continue"/>
                  <w:noWrap w:val="0"/>
                  <w:vAlign w:val="center"/>
                </w:tcPr>
                <w:p w14:paraId="76141C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576" w:type="pct"/>
                  <w:vMerge w:val="continue"/>
                  <w:noWrap w:val="0"/>
                  <w:vAlign w:val="center"/>
                </w:tcPr>
                <w:p w14:paraId="19FFD2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bl>
          <w:p w14:paraId="5FFA12DA">
            <w:pPr>
              <w:ind w:firstLine="0" w:firstLineChars="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2.5卫生防护距离</w:t>
            </w:r>
          </w:p>
          <w:p w14:paraId="3C9F1DB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根据《大气有害物质无组织排放卫生防护距离推导技术导则》（GB/T39499-2020）规定中制定的卫生防护距离制定方法，计算本项目卫生防护距离。卫生防护距离按下式计算：</w:t>
            </w:r>
          </w:p>
          <w:p w14:paraId="7E2333C1">
            <w:pPr>
              <w:spacing w:line="36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object>
                <v:shape id="_x0000_i1026" o:spt="75" type="#_x0000_t75" style="height:34.4pt;width:143.2pt;" o:ole="t" filled="f" o:preferrelative="t" stroked="f" coordsize="21600,21600">
                  <v:path/>
                  <v:fill on="f" focussize="0,0"/>
                  <v:stroke on="f"/>
                  <v:imagedata r:id="rId25" o:title=""/>
                  <o:lock v:ext="edit" aspectratio="t"/>
                  <w10:wrap type="none"/>
                  <w10:anchorlock/>
                </v:shape>
                <o:OLEObject Type="Embed" ProgID="Equation.2" ShapeID="_x0000_i1026" DrawAspect="Content" ObjectID="_1468075726" r:id="rId24">
                  <o:LockedField>false</o:LockedField>
                </o:OLEObject>
              </w:object>
            </w:r>
          </w:p>
          <w:p w14:paraId="29F70F34">
            <w:pPr>
              <w:keepNext w:val="0"/>
              <w:keepLines w:val="0"/>
              <w:pageBreakBefore w:val="0"/>
              <w:widowControl w:val="0"/>
              <w:kinsoku/>
              <w:wordWrap/>
              <w:overflowPunct/>
              <w:topLinePunct w:val="0"/>
              <w:autoSpaceDE/>
              <w:autoSpaceDN/>
              <w:bidi w:val="0"/>
              <w:adjustRightInd/>
              <w:snapToGrid/>
              <w:spacing w:line="480" w:lineRule="exact"/>
              <w:ind w:firstLine="42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式中：Cm—环境一次浓度标准限值（mg/m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4ADAECA3">
            <w:pPr>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L—工业企业所需的防护距离（m）；</w:t>
            </w:r>
          </w:p>
          <w:p w14:paraId="610DE094">
            <w:pPr>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Qc—有害气体无组织排放量可以达到的控制水平（kg/h）；</w:t>
            </w:r>
          </w:p>
          <w:p w14:paraId="30028440">
            <w:pPr>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r—有害气体无组织排放源所在生产单元的等效半径（m）；根据生产单元的占地面积S</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计算，r=</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S/</w:t>
            </w:r>
            <w:r>
              <w:rPr>
                <w:rFonts w:hint="default" w:ascii="Times New Roman" w:hAnsi="Times New Roman" w:eastAsia="宋体" w:cs="Times New Roman"/>
                <w:color w:val="auto"/>
                <w:sz w:val="24"/>
                <w:szCs w:val="24"/>
                <w:lang w:val="en-US" w:eastAsia="zh-CN"/>
              </w:rPr>
              <w:t>Π</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vertAlign w:val="superscript"/>
              </w:rPr>
              <w:t>0.5</w:t>
            </w:r>
            <w:r>
              <w:rPr>
                <w:rFonts w:hint="default" w:ascii="Times New Roman" w:hAnsi="Times New Roman" w:eastAsia="宋体" w:cs="Times New Roman"/>
                <w:color w:val="auto"/>
                <w:sz w:val="24"/>
                <w:szCs w:val="24"/>
              </w:rPr>
              <w:t>。</w:t>
            </w:r>
          </w:p>
          <w:p w14:paraId="40759E3B">
            <w:pPr>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A、B、C、D—卫生防护距离计算系数。</w:t>
            </w:r>
          </w:p>
          <w:p w14:paraId="265DEB1B">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w:t>
            </w:r>
            <w:r>
              <w:rPr>
                <w:rFonts w:hint="default" w:ascii="Times New Roman" w:hAnsi="Times New Roman" w:eastAsia="宋体" w:cs="Times New Roman"/>
                <w:b/>
                <w:bCs/>
                <w:color w:val="auto"/>
                <w:sz w:val="21"/>
                <w:szCs w:val="21"/>
              </w:rPr>
              <w:t>4</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12  卫生防护距离初值计算系数</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502"/>
              <w:gridCol w:w="1434"/>
              <w:gridCol w:w="697"/>
              <w:gridCol w:w="697"/>
              <w:gridCol w:w="701"/>
              <w:gridCol w:w="699"/>
              <w:gridCol w:w="699"/>
              <w:gridCol w:w="701"/>
              <w:gridCol w:w="699"/>
              <w:gridCol w:w="700"/>
              <w:gridCol w:w="697"/>
            </w:tblGrid>
            <w:tr w14:paraId="114880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restart"/>
                  <w:tcBorders>
                    <w:top w:val="single" w:color="auto" w:sz="12" w:space="0"/>
                    <w:left w:val="nil"/>
                    <w:bottom w:val="single" w:color="auto" w:sz="2" w:space="0"/>
                    <w:right w:val="single" w:color="auto" w:sz="2" w:space="0"/>
                  </w:tcBorders>
                  <w:noWrap w:val="0"/>
                  <w:vAlign w:val="center"/>
                </w:tcPr>
                <w:p w14:paraId="0CC041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计算系数</w:t>
                  </w:r>
                </w:p>
              </w:tc>
              <w:tc>
                <w:tcPr>
                  <w:tcW w:w="777" w:type="pct"/>
                  <w:vMerge w:val="restart"/>
                  <w:tcBorders>
                    <w:top w:val="single" w:color="auto" w:sz="12" w:space="0"/>
                    <w:left w:val="single" w:color="auto" w:sz="2" w:space="0"/>
                    <w:bottom w:val="single" w:color="auto" w:sz="2" w:space="0"/>
                    <w:right w:val="single" w:color="auto" w:sz="2" w:space="0"/>
                  </w:tcBorders>
                  <w:noWrap w:val="0"/>
                  <w:vAlign w:val="center"/>
                </w:tcPr>
                <w:p w14:paraId="57B6F1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5年平均风速，m/s</w:t>
                  </w:r>
                </w:p>
              </w:tc>
              <w:tc>
                <w:tcPr>
                  <w:tcW w:w="3410" w:type="pct"/>
                  <w:gridSpan w:val="9"/>
                  <w:tcBorders>
                    <w:top w:val="single" w:color="auto" w:sz="12" w:space="0"/>
                    <w:left w:val="single" w:color="auto" w:sz="2" w:space="0"/>
                    <w:bottom w:val="single" w:color="auto" w:sz="2" w:space="0"/>
                    <w:right w:val="nil"/>
                  </w:tcBorders>
                  <w:noWrap w:val="0"/>
                  <w:vAlign w:val="center"/>
                </w:tcPr>
                <w:p w14:paraId="5C18F3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卫生防护距离L（m）</w:t>
                  </w:r>
                </w:p>
              </w:tc>
            </w:tr>
            <w:tr w14:paraId="531865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12" w:space="0"/>
                    <w:left w:val="nil"/>
                    <w:bottom w:val="single" w:color="auto" w:sz="2" w:space="0"/>
                    <w:right w:val="single" w:color="auto" w:sz="2" w:space="0"/>
                  </w:tcBorders>
                  <w:noWrap w:val="0"/>
                  <w:vAlign w:val="center"/>
                </w:tcPr>
                <w:p w14:paraId="7FE45EA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777" w:type="pct"/>
                  <w:vMerge w:val="continue"/>
                  <w:tcBorders>
                    <w:top w:val="single" w:color="auto" w:sz="12" w:space="0"/>
                    <w:left w:val="single" w:color="auto" w:sz="2" w:space="0"/>
                    <w:bottom w:val="single" w:color="auto" w:sz="2" w:space="0"/>
                    <w:right w:val="single" w:color="auto" w:sz="2" w:space="0"/>
                  </w:tcBorders>
                  <w:noWrap w:val="0"/>
                  <w:vAlign w:val="center"/>
                </w:tcPr>
                <w:p w14:paraId="71C8227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1136" w:type="pct"/>
                  <w:gridSpan w:val="3"/>
                  <w:tcBorders>
                    <w:top w:val="single" w:color="auto" w:sz="2" w:space="0"/>
                    <w:left w:val="single" w:color="auto" w:sz="2" w:space="0"/>
                    <w:bottom w:val="single" w:color="auto" w:sz="2" w:space="0"/>
                    <w:right w:val="single" w:color="auto" w:sz="2" w:space="0"/>
                  </w:tcBorders>
                  <w:noWrap w:val="0"/>
                  <w:vAlign w:val="center"/>
                </w:tcPr>
                <w:p w14:paraId="1BF651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L≤1000</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2A1AB7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1000＜L≤2000</w:t>
                  </w:r>
                </w:p>
              </w:tc>
              <w:tc>
                <w:tcPr>
                  <w:tcW w:w="1136" w:type="pct"/>
                  <w:gridSpan w:val="3"/>
                  <w:tcBorders>
                    <w:top w:val="single" w:color="auto" w:sz="2" w:space="0"/>
                    <w:left w:val="single" w:color="auto" w:sz="2" w:space="0"/>
                    <w:bottom w:val="single" w:color="auto" w:sz="2" w:space="0"/>
                    <w:right w:val="nil"/>
                  </w:tcBorders>
                  <w:noWrap w:val="0"/>
                  <w:vAlign w:val="center"/>
                </w:tcPr>
                <w:p w14:paraId="16D664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L＞2000</w:t>
                  </w:r>
                </w:p>
              </w:tc>
            </w:tr>
            <w:tr w14:paraId="585AB71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12" w:space="0"/>
                    <w:left w:val="nil"/>
                    <w:bottom w:val="single" w:color="auto" w:sz="2" w:space="0"/>
                    <w:right w:val="single" w:color="auto" w:sz="2" w:space="0"/>
                  </w:tcBorders>
                  <w:noWrap w:val="0"/>
                  <w:vAlign w:val="center"/>
                </w:tcPr>
                <w:p w14:paraId="4823FA2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777" w:type="pct"/>
                  <w:vMerge w:val="continue"/>
                  <w:tcBorders>
                    <w:top w:val="single" w:color="auto" w:sz="12" w:space="0"/>
                    <w:left w:val="single" w:color="auto" w:sz="2" w:space="0"/>
                    <w:bottom w:val="single" w:color="auto" w:sz="2" w:space="0"/>
                    <w:right w:val="single" w:color="auto" w:sz="2" w:space="0"/>
                  </w:tcBorders>
                  <w:noWrap w:val="0"/>
                  <w:vAlign w:val="center"/>
                </w:tcPr>
                <w:p w14:paraId="05ED249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3410" w:type="pct"/>
                  <w:gridSpan w:val="9"/>
                  <w:tcBorders>
                    <w:top w:val="single" w:color="auto" w:sz="2" w:space="0"/>
                    <w:left w:val="single" w:color="auto" w:sz="2" w:space="0"/>
                    <w:bottom w:val="single" w:color="auto" w:sz="2" w:space="0"/>
                    <w:right w:val="nil"/>
                  </w:tcBorders>
                  <w:noWrap w:val="0"/>
                  <w:vAlign w:val="center"/>
                </w:tcPr>
                <w:p w14:paraId="77DEC8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工业企业大气污染源构成类型</w:t>
                  </w:r>
                </w:p>
              </w:tc>
            </w:tr>
            <w:tr w14:paraId="60D994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12" w:space="0"/>
                    <w:left w:val="nil"/>
                    <w:bottom w:val="single" w:color="auto" w:sz="2" w:space="0"/>
                    <w:right w:val="single" w:color="auto" w:sz="2" w:space="0"/>
                  </w:tcBorders>
                  <w:noWrap w:val="0"/>
                  <w:vAlign w:val="center"/>
                </w:tcPr>
                <w:p w14:paraId="5A799F6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777" w:type="pct"/>
                  <w:vMerge w:val="continue"/>
                  <w:tcBorders>
                    <w:top w:val="single" w:color="auto" w:sz="12" w:space="0"/>
                    <w:left w:val="single" w:color="auto" w:sz="2" w:space="0"/>
                    <w:bottom w:val="single" w:color="auto" w:sz="2" w:space="0"/>
                    <w:right w:val="single" w:color="auto" w:sz="2" w:space="0"/>
                  </w:tcBorders>
                  <w:noWrap w:val="0"/>
                  <w:vAlign w:val="center"/>
                </w:tcPr>
                <w:p w14:paraId="233F20C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rPr>
                  </w:pPr>
                </w:p>
              </w:tc>
              <w:tc>
                <w:tcPr>
                  <w:tcW w:w="378" w:type="pct"/>
                  <w:tcBorders>
                    <w:top w:val="single" w:color="auto" w:sz="2" w:space="0"/>
                    <w:left w:val="single" w:color="auto" w:sz="2" w:space="0"/>
                    <w:bottom w:val="single" w:color="auto" w:sz="2" w:space="0"/>
                    <w:right w:val="single" w:color="auto" w:sz="2" w:space="0"/>
                  </w:tcBorders>
                  <w:noWrap w:val="0"/>
                  <w:vAlign w:val="center"/>
                </w:tcPr>
                <w:p w14:paraId="13D6A6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w:t>
                  </w:r>
                </w:p>
              </w:tc>
              <w:tc>
                <w:tcPr>
                  <w:tcW w:w="378" w:type="pct"/>
                  <w:tcBorders>
                    <w:top w:val="single" w:color="auto" w:sz="2" w:space="0"/>
                    <w:left w:val="single" w:color="auto" w:sz="2" w:space="0"/>
                    <w:bottom w:val="single" w:color="auto" w:sz="2" w:space="0"/>
                    <w:right w:val="single" w:color="auto" w:sz="2" w:space="0"/>
                  </w:tcBorders>
                  <w:noWrap w:val="0"/>
                  <w:vAlign w:val="center"/>
                </w:tcPr>
                <w:p w14:paraId="1EED95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w:t>
                  </w:r>
                </w:p>
              </w:tc>
              <w:tc>
                <w:tcPr>
                  <w:tcW w:w="380" w:type="pct"/>
                  <w:tcBorders>
                    <w:top w:val="single" w:color="auto" w:sz="2" w:space="0"/>
                    <w:left w:val="single" w:color="auto" w:sz="2" w:space="0"/>
                    <w:bottom w:val="single" w:color="auto" w:sz="2" w:space="0"/>
                    <w:right w:val="single" w:color="auto" w:sz="2" w:space="0"/>
                  </w:tcBorders>
                  <w:noWrap w:val="0"/>
                  <w:vAlign w:val="center"/>
                </w:tcPr>
                <w:p w14:paraId="3FACD6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59420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24F73D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78EB76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675F8B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3BF2E9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w:t>
                  </w:r>
                </w:p>
              </w:tc>
              <w:tc>
                <w:tcPr>
                  <w:tcW w:w="378" w:type="pct"/>
                  <w:tcBorders>
                    <w:top w:val="single" w:color="auto" w:sz="2" w:space="0"/>
                    <w:left w:val="single" w:color="auto" w:sz="2" w:space="0"/>
                    <w:bottom w:val="single" w:color="auto" w:sz="2" w:space="0"/>
                    <w:right w:val="nil"/>
                  </w:tcBorders>
                  <w:noWrap w:val="0"/>
                  <w:vAlign w:val="center"/>
                </w:tcPr>
                <w:p w14:paraId="7DF4FC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w:t>
                  </w:r>
                </w:p>
              </w:tc>
            </w:tr>
            <w:tr w14:paraId="1639B6E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restart"/>
                  <w:tcBorders>
                    <w:top w:val="single" w:color="auto" w:sz="2" w:space="0"/>
                    <w:left w:val="nil"/>
                    <w:bottom w:val="single" w:color="auto" w:sz="2" w:space="0"/>
                    <w:right w:val="single" w:color="auto" w:sz="2" w:space="0"/>
                  </w:tcBorders>
                  <w:noWrap w:val="0"/>
                  <w:vAlign w:val="center"/>
                </w:tcPr>
                <w:p w14:paraId="31892D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w:t>
                  </w:r>
                </w:p>
              </w:tc>
              <w:tc>
                <w:tcPr>
                  <w:tcW w:w="777" w:type="pct"/>
                  <w:tcBorders>
                    <w:top w:val="single" w:color="auto" w:sz="2" w:space="0"/>
                    <w:left w:val="single" w:color="auto" w:sz="2" w:space="0"/>
                    <w:bottom w:val="single" w:color="auto" w:sz="2" w:space="0"/>
                    <w:right w:val="single" w:color="auto" w:sz="2" w:space="0"/>
                  </w:tcBorders>
                  <w:noWrap w:val="0"/>
                  <w:vAlign w:val="center"/>
                </w:tcPr>
                <w:p w14:paraId="592EC7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&lt;2</w:t>
                  </w:r>
                </w:p>
              </w:tc>
              <w:tc>
                <w:tcPr>
                  <w:tcW w:w="378" w:type="pct"/>
                  <w:tcBorders>
                    <w:top w:val="single" w:color="auto" w:sz="2" w:space="0"/>
                    <w:left w:val="single" w:color="auto" w:sz="2" w:space="0"/>
                    <w:bottom w:val="single" w:color="auto" w:sz="2" w:space="0"/>
                    <w:right w:val="single" w:color="auto" w:sz="2" w:space="0"/>
                  </w:tcBorders>
                  <w:noWrap w:val="0"/>
                  <w:vAlign w:val="center"/>
                </w:tcPr>
                <w:p w14:paraId="3C8011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78" w:type="pct"/>
                  <w:tcBorders>
                    <w:top w:val="single" w:color="auto" w:sz="2" w:space="0"/>
                    <w:left w:val="single" w:color="auto" w:sz="2" w:space="0"/>
                    <w:bottom w:val="single" w:color="auto" w:sz="2" w:space="0"/>
                    <w:right w:val="single" w:color="auto" w:sz="2" w:space="0"/>
                  </w:tcBorders>
                  <w:noWrap w:val="0"/>
                  <w:vAlign w:val="center"/>
                </w:tcPr>
                <w:p w14:paraId="3F4568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80" w:type="pct"/>
                  <w:tcBorders>
                    <w:top w:val="single" w:color="auto" w:sz="2" w:space="0"/>
                    <w:left w:val="single" w:color="auto" w:sz="2" w:space="0"/>
                    <w:bottom w:val="single" w:color="auto" w:sz="2" w:space="0"/>
                    <w:right w:val="single" w:color="auto" w:sz="2" w:space="0"/>
                  </w:tcBorders>
                  <w:noWrap w:val="0"/>
                  <w:vAlign w:val="center"/>
                </w:tcPr>
                <w:p w14:paraId="666E1A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3B600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012A3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23873A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6E4619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232903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378" w:type="pct"/>
                  <w:tcBorders>
                    <w:top w:val="single" w:color="auto" w:sz="2" w:space="0"/>
                    <w:left w:val="single" w:color="auto" w:sz="2" w:space="0"/>
                    <w:bottom w:val="single" w:color="auto" w:sz="2" w:space="0"/>
                    <w:right w:val="nil"/>
                  </w:tcBorders>
                  <w:noWrap w:val="0"/>
                  <w:vAlign w:val="center"/>
                </w:tcPr>
                <w:p w14:paraId="66200B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r>
            <w:tr w14:paraId="085ACB0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2" w:space="0"/>
                    <w:left w:val="nil"/>
                    <w:bottom w:val="single" w:color="auto" w:sz="2" w:space="0"/>
                    <w:right w:val="single" w:color="auto" w:sz="2" w:space="0"/>
                  </w:tcBorders>
                  <w:shd w:val="clear" w:color="auto" w:fill="auto"/>
                  <w:noWrap w:val="0"/>
                  <w:vAlign w:val="center"/>
                </w:tcPr>
                <w:p w14:paraId="192D7EF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777"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1D2217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378"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585974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378" w:type="pct"/>
                  <w:tcBorders>
                    <w:top w:val="single" w:color="auto" w:sz="2" w:space="0"/>
                    <w:left w:val="single" w:color="auto" w:sz="2" w:space="0"/>
                    <w:bottom w:val="single" w:color="auto" w:sz="2" w:space="0"/>
                    <w:right w:val="single" w:color="auto" w:sz="2" w:space="0"/>
                  </w:tcBorders>
                  <w:shd w:val="clear" w:color="auto" w:fill="B3B3B3"/>
                  <w:noWrap w:val="0"/>
                  <w:vAlign w:val="center"/>
                </w:tcPr>
                <w:p w14:paraId="574186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470</w:t>
                  </w:r>
                </w:p>
              </w:tc>
              <w:tc>
                <w:tcPr>
                  <w:tcW w:w="380" w:type="pct"/>
                  <w:tcBorders>
                    <w:top w:val="single" w:color="auto" w:sz="2" w:space="0"/>
                    <w:left w:val="single" w:color="auto" w:sz="2" w:space="0"/>
                    <w:bottom w:val="single" w:color="auto" w:sz="2" w:space="0"/>
                    <w:right w:val="single" w:color="auto" w:sz="2" w:space="0"/>
                  </w:tcBorders>
                  <w:noWrap w:val="0"/>
                  <w:vAlign w:val="center"/>
                </w:tcPr>
                <w:p w14:paraId="6448EF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4D4EEA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37C559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77D8E7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357F4A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4EC177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378" w:type="pct"/>
                  <w:tcBorders>
                    <w:top w:val="single" w:color="auto" w:sz="2" w:space="0"/>
                    <w:left w:val="single" w:color="auto" w:sz="2" w:space="0"/>
                    <w:bottom w:val="single" w:color="auto" w:sz="2" w:space="0"/>
                    <w:right w:val="nil"/>
                  </w:tcBorders>
                  <w:noWrap w:val="0"/>
                  <w:vAlign w:val="center"/>
                </w:tcPr>
                <w:p w14:paraId="08499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190</w:t>
                  </w:r>
                </w:p>
              </w:tc>
            </w:tr>
            <w:tr w14:paraId="0492ED8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2" w:space="0"/>
                    <w:left w:val="nil"/>
                    <w:bottom w:val="single" w:color="auto" w:sz="2" w:space="0"/>
                    <w:right w:val="single" w:color="auto" w:sz="2" w:space="0"/>
                  </w:tcBorders>
                  <w:noWrap w:val="0"/>
                  <w:vAlign w:val="center"/>
                </w:tcPr>
                <w:p w14:paraId="61AF44D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777" w:type="pct"/>
                  <w:tcBorders>
                    <w:top w:val="single" w:color="auto" w:sz="2" w:space="0"/>
                    <w:left w:val="single" w:color="auto" w:sz="2" w:space="0"/>
                    <w:bottom w:val="single" w:color="auto" w:sz="2" w:space="0"/>
                    <w:right w:val="single" w:color="auto" w:sz="2" w:space="0"/>
                  </w:tcBorders>
                  <w:noWrap w:val="0"/>
                  <w:vAlign w:val="center"/>
                </w:tcPr>
                <w:p w14:paraId="5B3A31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&gt;4</w:t>
                  </w:r>
                </w:p>
              </w:tc>
              <w:tc>
                <w:tcPr>
                  <w:tcW w:w="378" w:type="pct"/>
                  <w:tcBorders>
                    <w:top w:val="single" w:color="auto" w:sz="2" w:space="0"/>
                    <w:left w:val="single" w:color="auto" w:sz="2" w:space="0"/>
                    <w:bottom w:val="single" w:color="auto" w:sz="2" w:space="0"/>
                    <w:right w:val="single" w:color="auto" w:sz="2" w:space="0"/>
                  </w:tcBorders>
                  <w:noWrap w:val="0"/>
                  <w:vAlign w:val="center"/>
                </w:tcPr>
                <w:p w14:paraId="09037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530</w:t>
                  </w:r>
                </w:p>
              </w:tc>
              <w:tc>
                <w:tcPr>
                  <w:tcW w:w="378" w:type="pct"/>
                  <w:tcBorders>
                    <w:top w:val="single" w:color="auto" w:sz="2" w:space="0"/>
                    <w:left w:val="single" w:color="auto" w:sz="2" w:space="0"/>
                    <w:bottom w:val="single" w:color="auto" w:sz="2" w:space="0"/>
                    <w:right w:val="single" w:color="auto" w:sz="2" w:space="0"/>
                  </w:tcBorders>
                  <w:noWrap w:val="0"/>
                  <w:vAlign w:val="center"/>
                </w:tcPr>
                <w:p w14:paraId="2CF722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380" w:type="pct"/>
                  <w:tcBorders>
                    <w:top w:val="single" w:color="auto" w:sz="2" w:space="0"/>
                    <w:left w:val="single" w:color="auto" w:sz="2" w:space="0"/>
                    <w:bottom w:val="single" w:color="auto" w:sz="2" w:space="0"/>
                    <w:right w:val="single" w:color="auto" w:sz="2" w:space="0"/>
                  </w:tcBorders>
                  <w:noWrap w:val="0"/>
                  <w:vAlign w:val="center"/>
                </w:tcPr>
                <w:p w14:paraId="76E844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0D332C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456D6A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191FB2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7E2BE5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290</w:t>
                  </w:r>
                </w:p>
              </w:tc>
              <w:tc>
                <w:tcPr>
                  <w:tcW w:w="379" w:type="pct"/>
                  <w:tcBorders>
                    <w:top w:val="single" w:color="auto" w:sz="2" w:space="0"/>
                    <w:left w:val="single" w:color="auto" w:sz="2" w:space="0"/>
                    <w:bottom w:val="single" w:color="auto" w:sz="2" w:space="0"/>
                    <w:right w:val="single" w:color="auto" w:sz="2" w:space="0"/>
                  </w:tcBorders>
                  <w:noWrap w:val="0"/>
                  <w:vAlign w:val="center"/>
                </w:tcPr>
                <w:p w14:paraId="46FCBD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190</w:t>
                  </w:r>
                </w:p>
              </w:tc>
              <w:tc>
                <w:tcPr>
                  <w:tcW w:w="378" w:type="pct"/>
                  <w:tcBorders>
                    <w:top w:val="single" w:color="auto" w:sz="2" w:space="0"/>
                    <w:left w:val="single" w:color="auto" w:sz="2" w:space="0"/>
                    <w:bottom w:val="single" w:color="auto" w:sz="2" w:space="0"/>
                    <w:right w:val="nil"/>
                  </w:tcBorders>
                  <w:noWrap w:val="0"/>
                  <w:vAlign w:val="center"/>
                </w:tcPr>
                <w:p w14:paraId="620AF9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w:t>
                  </w:r>
                </w:p>
              </w:tc>
            </w:tr>
            <w:tr w14:paraId="2DAEA6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restart"/>
                  <w:tcBorders>
                    <w:top w:val="single" w:color="auto" w:sz="2" w:space="0"/>
                    <w:left w:val="nil"/>
                    <w:bottom w:val="single" w:color="auto" w:sz="2" w:space="0"/>
                    <w:right w:val="single" w:color="auto" w:sz="2" w:space="0"/>
                  </w:tcBorders>
                  <w:noWrap w:val="0"/>
                  <w:vAlign w:val="center"/>
                </w:tcPr>
                <w:p w14:paraId="38D65C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w:t>
                  </w:r>
                </w:p>
              </w:tc>
              <w:tc>
                <w:tcPr>
                  <w:tcW w:w="777" w:type="pct"/>
                  <w:tcBorders>
                    <w:top w:val="single" w:color="auto" w:sz="2" w:space="0"/>
                    <w:left w:val="single" w:color="auto" w:sz="2" w:space="0"/>
                    <w:bottom w:val="single" w:color="auto" w:sz="2" w:space="0"/>
                    <w:right w:val="single" w:color="auto" w:sz="2" w:space="0"/>
                  </w:tcBorders>
                  <w:noWrap w:val="0"/>
                  <w:vAlign w:val="center"/>
                </w:tcPr>
                <w:p w14:paraId="748847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&lt;2</w:t>
                  </w:r>
                </w:p>
              </w:tc>
              <w:tc>
                <w:tcPr>
                  <w:tcW w:w="1136" w:type="pct"/>
                  <w:gridSpan w:val="3"/>
                  <w:tcBorders>
                    <w:top w:val="single" w:color="auto" w:sz="2" w:space="0"/>
                    <w:left w:val="single" w:color="auto" w:sz="2" w:space="0"/>
                    <w:bottom w:val="single" w:color="auto" w:sz="2" w:space="0"/>
                    <w:right w:val="single" w:color="auto" w:sz="2" w:space="0"/>
                  </w:tcBorders>
                  <w:noWrap w:val="0"/>
                  <w:vAlign w:val="center"/>
                </w:tcPr>
                <w:p w14:paraId="70C22B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55117E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c>
                <w:tcPr>
                  <w:tcW w:w="1136" w:type="pct"/>
                  <w:gridSpan w:val="3"/>
                  <w:tcBorders>
                    <w:top w:val="single" w:color="auto" w:sz="2" w:space="0"/>
                    <w:left w:val="single" w:color="auto" w:sz="2" w:space="0"/>
                    <w:bottom w:val="single" w:color="auto" w:sz="2" w:space="0"/>
                    <w:right w:val="nil"/>
                  </w:tcBorders>
                  <w:noWrap w:val="0"/>
                  <w:vAlign w:val="center"/>
                </w:tcPr>
                <w:p w14:paraId="1B8AF9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0.015</w:t>
                  </w:r>
                </w:p>
              </w:tc>
            </w:tr>
            <w:tr w14:paraId="684B900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2" w:space="0"/>
                    <w:left w:val="nil"/>
                    <w:bottom w:val="single" w:color="auto" w:sz="2" w:space="0"/>
                    <w:right w:val="single" w:color="auto" w:sz="2" w:space="0"/>
                  </w:tcBorders>
                  <w:shd w:val="clear" w:color="auto" w:fill="auto"/>
                  <w:noWrap w:val="0"/>
                  <w:vAlign w:val="center"/>
                </w:tcPr>
                <w:p w14:paraId="250DB0B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777"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1C491D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w:t>
                  </w:r>
                </w:p>
              </w:tc>
              <w:tc>
                <w:tcPr>
                  <w:tcW w:w="1136" w:type="pct"/>
                  <w:gridSpan w:val="3"/>
                  <w:tcBorders>
                    <w:top w:val="single" w:color="auto" w:sz="2" w:space="0"/>
                    <w:left w:val="single" w:color="auto" w:sz="2" w:space="0"/>
                    <w:bottom w:val="single" w:color="auto" w:sz="2" w:space="0"/>
                    <w:right w:val="single" w:color="auto" w:sz="2" w:space="0"/>
                  </w:tcBorders>
                  <w:shd w:val="clear" w:color="auto" w:fill="B3B3B3"/>
                  <w:noWrap w:val="0"/>
                  <w:vAlign w:val="center"/>
                </w:tcPr>
                <w:p w14:paraId="4FB970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0.021</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4658D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0.036</w:t>
                  </w:r>
                </w:p>
              </w:tc>
              <w:tc>
                <w:tcPr>
                  <w:tcW w:w="1136" w:type="pct"/>
                  <w:gridSpan w:val="3"/>
                  <w:tcBorders>
                    <w:top w:val="single" w:color="auto" w:sz="2" w:space="0"/>
                    <w:left w:val="single" w:color="auto" w:sz="2" w:space="0"/>
                    <w:bottom w:val="single" w:color="auto" w:sz="2" w:space="0"/>
                    <w:right w:val="nil"/>
                  </w:tcBorders>
                  <w:noWrap w:val="0"/>
                  <w:vAlign w:val="center"/>
                </w:tcPr>
                <w:p w14:paraId="153BD9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0.036</w:t>
                  </w:r>
                </w:p>
              </w:tc>
            </w:tr>
            <w:tr w14:paraId="48FB6F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restart"/>
                  <w:tcBorders>
                    <w:top w:val="single" w:color="auto" w:sz="2" w:space="0"/>
                    <w:left w:val="nil"/>
                    <w:bottom w:val="single" w:color="auto" w:sz="2" w:space="0"/>
                    <w:right w:val="single" w:color="auto" w:sz="2" w:space="0"/>
                  </w:tcBorders>
                  <w:noWrap w:val="0"/>
                  <w:vAlign w:val="center"/>
                </w:tcPr>
                <w:p w14:paraId="0F6E59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w:t>
                  </w:r>
                </w:p>
              </w:tc>
              <w:tc>
                <w:tcPr>
                  <w:tcW w:w="777" w:type="pct"/>
                  <w:tcBorders>
                    <w:top w:val="single" w:color="auto" w:sz="2" w:space="0"/>
                    <w:left w:val="single" w:color="auto" w:sz="2" w:space="0"/>
                    <w:bottom w:val="single" w:color="auto" w:sz="2" w:space="0"/>
                    <w:right w:val="single" w:color="auto" w:sz="2" w:space="0"/>
                  </w:tcBorders>
                  <w:noWrap w:val="0"/>
                  <w:vAlign w:val="center"/>
                </w:tcPr>
                <w:p w14:paraId="6B47A6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&lt;2</w:t>
                  </w:r>
                </w:p>
              </w:tc>
              <w:tc>
                <w:tcPr>
                  <w:tcW w:w="1136" w:type="pct"/>
                  <w:gridSpan w:val="3"/>
                  <w:tcBorders>
                    <w:top w:val="single" w:color="auto" w:sz="2" w:space="0"/>
                    <w:left w:val="single" w:color="auto" w:sz="2" w:space="0"/>
                    <w:bottom w:val="single" w:color="auto" w:sz="2" w:space="0"/>
                    <w:right w:val="single" w:color="auto" w:sz="2" w:space="0"/>
                  </w:tcBorders>
                  <w:noWrap w:val="0"/>
                  <w:vAlign w:val="center"/>
                </w:tcPr>
                <w:p w14:paraId="3FD4C2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53428A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1.79</w:t>
                  </w:r>
                </w:p>
              </w:tc>
              <w:tc>
                <w:tcPr>
                  <w:tcW w:w="1136" w:type="pct"/>
                  <w:gridSpan w:val="3"/>
                  <w:tcBorders>
                    <w:top w:val="single" w:color="auto" w:sz="2" w:space="0"/>
                    <w:left w:val="single" w:color="auto" w:sz="2" w:space="0"/>
                    <w:bottom w:val="single" w:color="auto" w:sz="2" w:space="0"/>
                    <w:right w:val="nil"/>
                  </w:tcBorders>
                  <w:noWrap w:val="0"/>
                  <w:vAlign w:val="center"/>
                </w:tcPr>
                <w:p w14:paraId="024036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1.79</w:t>
                  </w:r>
                </w:p>
              </w:tc>
            </w:tr>
            <w:tr w14:paraId="528293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2" w:space="0"/>
                    <w:left w:val="nil"/>
                    <w:bottom w:val="single" w:color="auto" w:sz="2" w:space="0"/>
                    <w:right w:val="single" w:color="auto" w:sz="2" w:space="0"/>
                  </w:tcBorders>
                  <w:shd w:val="clear" w:color="auto" w:fill="auto"/>
                  <w:noWrap w:val="0"/>
                  <w:vAlign w:val="center"/>
                </w:tcPr>
                <w:p w14:paraId="5632C70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777"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4A12E4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w:t>
                  </w:r>
                </w:p>
              </w:tc>
              <w:tc>
                <w:tcPr>
                  <w:tcW w:w="1136" w:type="pct"/>
                  <w:gridSpan w:val="3"/>
                  <w:tcBorders>
                    <w:top w:val="single" w:color="auto" w:sz="2" w:space="0"/>
                    <w:left w:val="single" w:color="auto" w:sz="2" w:space="0"/>
                    <w:bottom w:val="single" w:color="auto" w:sz="2" w:space="0"/>
                    <w:right w:val="single" w:color="auto" w:sz="2" w:space="0"/>
                  </w:tcBorders>
                  <w:shd w:val="clear" w:color="auto" w:fill="B3B3B3"/>
                  <w:noWrap w:val="0"/>
                  <w:vAlign w:val="center"/>
                </w:tcPr>
                <w:p w14:paraId="4986A7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09AB30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1.77</w:t>
                  </w:r>
                </w:p>
              </w:tc>
              <w:tc>
                <w:tcPr>
                  <w:tcW w:w="1136" w:type="pct"/>
                  <w:gridSpan w:val="3"/>
                  <w:tcBorders>
                    <w:top w:val="single" w:color="auto" w:sz="2" w:space="0"/>
                    <w:left w:val="single" w:color="auto" w:sz="2" w:space="0"/>
                    <w:bottom w:val="single" w:color="auto" w:sz="2" w:space="0"/>
                    <w:right w:val="nil"/>
                  </w:tcBorders>
                  <w:noWrap w:val="0"/>
                  <w:vAlign w:val="center"/>
                </w:tcPr>
                <w:p w14:paraId="6A399C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1.77</w:t>
                  </w:r>
                </w:p>
              </w:tc>
            </w:tr>
            <w:tr w14:paraId="3E569B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restart"/>
                  <w:tcBorders>
                    <w:top w:val="single" w:color="auto" w:sz="2" w:space="0"/>
                    <w:left w:val="nil"/>
                    <w:bottom w:val="single" w:color="auto" w:sz="2" w:space="0"/>
                    <w:right w:val="single" w:color="auto" w:sz="2" w:space="0"/>
                  </w:tcBorders>
                  <w:noWrap w:val="0"/>
                  <w:vAlign w:val="center"/>
                </w:tcPr>
                <w:p w14:paraId="4E3BC7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w:t>
                  </w:r>
                </w:p>
              </w:tc>
              <w:tc>
                <w:tcPr>
                  <w:tcW w:w="777" w:type="pct"/>
                  <w:tcBorders>
                    <w:top w:val="single" w:color="auto" w:sz="2" w:space="0"/>
                    <w:left w:val="single" w:color="auto" w:sz="2" w:space="0"/>
                    <w:bottom w:val="single" w:color="auto" w:sz="2" w:space="0"/>
                    <w:right w:val="single" w:color="auto" w:sz="2" w:space="0"/>
                  </w:tcBorders>
                  <w:noWrap w:val="0"/>
                  <w:vAlign w:val="center"/>
                </w:tcPr>
                <w:p w14:paraId="67303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&lt;2</w:t>
                  </w:r>
                </w:p>
              </w:tc>
              <w:tc>
                <w:tcPr>
                  <w:tcW w:w="1136" w:type="pct"/>
                  <w:gridSpan w:val="3"/>
                  <w:tcBorders>
                    <w:top w:val="single" w:color="auto" w:sz="2" w:space="0"/>
                    <w:left w:val="single" w:color="auto" w:sz="2" w:space="0"/>
                    <w:bottom w:val="single" w:color="auto" w:sz="2" w:space="0"/>
                    <w:right w:val="single" w:color="auto" w:sz="2" w:space="0"/>
                  </w:tcBorders>
                  <w:noWrap w:val="0"/>
                  <w:vAlign w:val="center"/>
                </w:tcPr>
                <w:p w14:paraId="526BCB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0.78</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661620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0.78</w:t>
                  </w:r>
                </w:p>
              </w:tc>
              <w:tc>
                <w:tcPr>
                  <w:tcW w:w="1136" w:type="pct"/>
                  <w:gridSpan w:val="3"/>
                  <w:tcBorders>
                    <w:top w:val="single" w:color="auto" w:sz="2" w:space="0"/>
                    <w:left w:val="single" w:color="auto" w:sz="2" w:space="0"/>
                    <w:bottom w:val="single" w:color="auto" w:sz="2" w:space="0"/>
                    <w:right w:val="nil"/>
                  </w:tcBorders>
                  <w:noWrap w:val="0"/>
                  <w:vAlign w:val="center"/>
                </w:tcPr>
                <w:p w14:paraId="2FA5BC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0.57</w:t>
                  </w:r>
                </w:p>
              </w:tc>
            </w:tr>
            <w:tr w14:paraId="4FBB3A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814" w:type="pct"/>
                  <w:vMerge w:val="continue"/>
                  <w:tcBorders>
                    <w:top w:val="single" w:color="auto" w:sz="2" w:space="0"/>
                    <w:left w:val="nil"/>
                    <w:bottom w:val="single" w:color="auto" w:sz="2" w:space="0"/>
                    <w:right w:val="single" w:color="auto" w:sz="2" w:space="0"/>
                  </w:tcBorders>
                  <w:shd w:val="clear" w:color="auto" w:fill="auto"/>
                  <w:noWrap w:val="0"/>
                  <w:vAlign w:val="center"/>
                </w:tcPr>
                <w:p w14:paraId="2F8C1C6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rPr>
                  </w:pPr>
                </w:p>
              </w:tc>
              <w:tc>
                <w:tcPr>
                  <w:tcW w:w="777" w:type="pct"/>
                  <w:tcBorders>
                    <w:top w:val="single" w:color="auto" w:sz="2" w:space="0"/>
                    <w:left w:val="single" w:color="auto" w:sz="2" w:space="0"/>
                    <w:bottom w:val="single" w:color="auto" w:sz="2" w:space="0"/>
                    <w:right w:val="single" w:color="auto" w:sz="2" w:space="0"/>
                  </w:tcBorders>
                  <w:shd w:val="clear" w:color="auto" w:fill="auto"/>
                  <w:noWrap w:val="0"/>
                  <w:vAlign w:val="center"/>
                </w:tcPr>
                <w:p w14:paraId="4ACC5F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&gt;2</w:t>
                  </w:r>
                </w:p>
              </w:tc>
              <w:tc>
                <w:tcPr>
                  <w:tcW w:w="1136" w:type="pct"/>
                  <w:gridSpan w:val="3"/>
                  <w:tcBorders>
                    <w:top w:val="single" w:color="auto" w:sz="2" w:space="0"/>
                    <w:left w:val="single" w:color="auto" w:sz="2" w:space="0"/>
                    <w:bottom w:val="single" w:color="auto" w:sz="2" w:space="0"/>
                    <w:right w:val="single" w:color="auto" w:sz="2" w:space="0"/>
                  </w:tcBorders>
                  <w:shd w:val="clear" w:color="auto" w:fill="B3B3B3"/>
                  <w:noWrap w:val="0"/>
                  <w:vAlign w:val="center"/>
                </w:tcPr>
                <w:p w14:paraId="2DC0C4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0.84</w:t>
                  </w:r>
                </w:p>
              </w:tc>
              <w:tc>
                <w:tcPr>
                  <w:tcW w:w="1138" w:type="pct"/>
                  <w:gridSpan w:val="3"/>
                  <w:tcBorders>
                    <w:top w:val="single" w:color="auto" w:sz="2" w:space="0"/>
                    <w:left w:val="single" w:color="auto" w:sz="2" w:space="0"/>
                    <w:bottom w:val="single" w:color="auto" w:sz="2" w:space="0"/>
                    <w:right w:val="single" w:color="auto" w:sz="2" w:space="0"/>
                  </w:tcBorders>
                  <w:noWrap w:val="0"/>
                  <w:vAlign w:val="center"/>
                </w:tcPr>
                <w:p w14:paraId="5D29A4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0.84</w:t>
                  </w:r>
                </w:p>
              </w:tc>
              <w:tc>
                <w:tcPr>
                  <w:tcW w:w="1136" w:type="pct"/>
                  <w:gridSpan w:val="3"/>
                  <w:tcBorders>
                    <w:top w:val="single" w:color="auto" w:sz="2" w:space="0"/>
                    <w:left w:val="single" w:color="auto" w:sz="2" w:space="0"/>
                    <w:bottom w:val="single" w:color="auto" w:sz="2" w:space="0"/>
                    <w:right w:val="nil"/>
                  </w:tcBorders>
                  <w:noWrap w:val="0"/>
                  <w:vAlign w:val="center"/>
                </w:tcPr>
                <w:p w14:paraId="5CA6FC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0.76</w:t>
                  </w:r>
                </w:p>
              </w:tc>
            </w:tr>
            <w:tr w14:paraId="3257A1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3" w:hRule="atLeast"/>
                <w:jc w:val="center"/>
              </w:trPr>
              <w:tc>
                <w:tcPr>
                  <w:tcW w:w="5000" w:type="pct"/>
                  <w:gridSpan w:val="11"/>
                  <w:tcBorders>
                    <w:top w:val="single" w:color="auto" w:sz="2" w:space="0"/>
                    <w:left w:val="nil"/>
                    <w:bottom w:val="single" w:color="auto" w:sz="12" w:space="0"/>
                    <w:right w:val="single" w:color="auto" w:sz="2" w:space="0"/>
                  </w:tcBorders>
                  <w:noWrap w:val="0"/>
                  <w:vAlign w:val="center"/>
                </w:tcPr>
                <w:p w14:paraId="0A43FF59">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注：</w:t>
                  </w:r>
                  <w:r>
                    <w:rPr>
                      <w:rFonts w:hint="default" w:ascii="Times New Roman" w:hAnsi="Times New Roman" w:eastAsia="宋体" w:cs="Times New Roman"/>
                      <w:color w:val="auto"/>
                      <w:sz w:val="21"/>
                      <w:szCs w:val="21"/>
                    </w:rPr>
                    <w:t>Ⅰ类：与无组织排放源共存的排放同种有害气体的排气筒的排放量，大于或等于标准规定的允许排放量的1/3者。</w:t>
                  </w:r>
                </w:p>
                <w:p w14:paraId="2B25ACEB">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类：与无组织排放源共存的排放同种有害气体的排气筒的排放量，小于规准规定的允许排放量的1/3，或虽无排放同种大气污染物之排气筒共存，但无组织排放的有害物质的容许浓度指标是按急性反应指标确定者。</w:t>
                  </w:r>
                </w:p>
                <w:p w14:paraId="32C11FC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1"/>
                      <w:szCs w:val="21"/>
                    </w:rPr>
                    <w:t>Ⅲ类：无排放同种有害物质的排气筒与无组织排放源共存，但无组织排放的有害物质的容许浓度是按慢性反应指标确定者。</w:t>
                  </w:r>
                </w:p>
              </w:tc>
            </w:tr>
          </w:tbl>
          <w:p w14:paraId="09F4FAD7">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根据《制定地方大气污染物排放标准的技术方法》（GB/T39449-2020），卫生防护距离在100m以内时，级差为50m；超过100m，但小于或等于1000m时，级差为100m；超过1000m时，级差为200m。当按两种或两种以上的有害气体的Q/Cm值计算的卫生防护距离在同一级别时，该类工业企业的卫生防护距离级别应提高一级。</w:t>
            </w:r>
          </w:p>
          <w:p w14:paraId="42DE40FC">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经计算，本项目卫生防护距离计算结果见表4</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13</w:t>
            </w:r>
            <w:r>
              <w:rPr>
                <w:rFonts w:hint="default" w:ascii="Times New Roman" w:hAnsi="Times New Roman" w:eastAsia="宋体" w:cs="Times New Roman"/>
                <w:color w:val="auto"/>
                <w:sz w:val="24"/>
                <w:szCs w:val="24"/>
              </w:rPr>
              <w:t>。</w:t>
            </w:r>
          </w:p>
          <w:p w14:paraId="4188651D">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表4.2-13  卫生防护距离计算结果表</w:t>
            </w:r>
          </w:p>
          <w:tbl>
            <w:tblPr>
              <w:tblStyle w:val="44"/>
              <w:tblW w:w="4913"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566"/>
              <w:gridCol w:w="651"/>
              <w:gridCol w:w="1016"/>
              <w:gridCol w:w="865"/>
              <w:gridCol w:w="1197"/>
              <w:gridCol w:w="530"/>
              <w:gridCol w:w="677"/>
              <w:gridCol w:w="573"/>
              <w:gridCol w:w="591"/>
              <w:gridCol w:w="800"/>
              <w:gridCol w:w="800"/>
              <w:gridCol w:w="801"/>
            </w:tblGrid>
            <w:tr w14:paraId="66D6852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312" w:type="pct"/>
                  <w:vMerge w:val="restart"/>
                  <w:noWrap w:val="0"/>
                  <w:vAlign w:val="center"/>
                </w:tcPr>
                <w:p w14:paraId="047517C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w:t>
                  </w:r>
                </w:p>
                <w:p w14:paraId="5D5F810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358" w:type="pct"/>
                  <w:vMerge w:val="restart"/>
                  <w:noWrap w:val="0"/>
                  <w:vAlign w:val="center"/>
                </w:tcPr>
                <w:p w14:paraId="5098CB9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560" w:type="pct"/>
                  <w:vMerge w:val="restart"/>
                  <w:noWrap w:val="0"/>
                  <w:vAlign w:val="center"/>
                </w:tcPr>
                <w:p w14:paraId="7055C9B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Qc</w:t>
                  </w:r>
                </w:p>
                <w:p w14:paraId="1C5E5A6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 w:val="21"/>
                      <w:szCs w:val="21"/>
                    </w:rPr>
                    <w:t>（kg/h）</w:t>
                  </w:r>
                </w:p>
              </w:tc>
              <w:tc>
                <w:tcPr>
                  <w:tcW w:w="477" w:type="pct"/>
                  <w:vMerge w:val="restart"/>
                  <w:noWrap w:val="0"/>
                  <w:vAlign w:val="center"/>
                </w:tcPr>
                <w:p w14:paraId="453EA44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面源面积（m</w:t>
                  </w:r>
                  <w:r>
                    <w:rPr>
                      <w:rFonts w:hint="default" w:ascii="Times New Roman" w:hAnsi="Times New Roman" w:eastAsia="宋体" w:cs="Times New Roman"/>
                      <w:b/>
                      <w:bCs/>
                      <w:color w:val="auto"/>
                      <w:sz w:val="21"/>
                      <w:szCs w:val="21"/>
                      <w:vertAlign w:val="superscript"/>
                    </w:rPr>
                    <w:t>2</w:t>
                  </w:r>
                  <w:r>
                    <w:rPr>
                      <w:rFonts w:hint="default" w:ascii="Times New Roman" w:hAnsi="Times New Roman" w:eastAsia="宋体" w:cs="Times New Roman"/>
                      <w:b/>
                      <w:bCs/>
                      <w:color w:val="auto"/>
                      <w:sz w:val="21"/>
                      <w:szCs w:val="21"/>
                    </w:rPr>
                    <w:t>）</w:t>
                  </w:r>
                </w:p>
              </w:tc>
              <w:tc>
                <w:tcPr>
                  <w:tcW w:w="1967" w:type="pct"/>
                  <w:gridSpan w:val="5"/>
                  <w:noWrap w:val="0"/>
                  <w:vAlign w:val="center"/>
                </w:tcPr>
                <w:p w14:paraId="78CE140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计算参数</w:t>
                  </w:r>
                </w:p>
              </w:tc>
              <w:tc>
                <w:tcPr>
                  <w:tcW w:w="1324" w:type="pct"/>
                  <w:gridSpan w:val="3"/>
                  <w:noWrap w:val="0"/>
                  <w:vAlign w:val="center"/>
                </w:tcPr>
                <w:p w14:paraId="647D837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卫生防护距离</w:t>
                  </w:r>
                </w:p>
              </w:tc>
            </w:tr>
            <w:tr w14:paraId="656A2FD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312" w:type="pct"/>
                  <w:vMerge w:val="continue"/>
                  <w:tcBorders>
                    <w:bottom w:val="single" w:color="auto" w:sz="4" w:space="0"/>
                  </w:tcBorders>
                  <w:noWrap w:val="0"/>
                  <w:vAlign w:val="center"/>
                </w:tcPr>
                <w:p w14:paraId="7FF77CF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p>
              </w:tc>
              <w:tc>
                <w:tcPr>
                  <w:tcW w:w="358" w:type="pct"/>
                  <w:vMerge w:val="continue"/>
                  <w:noWrap w:val="0"/>
                  <w:vAlign w:val="center"/>
                </w:tcPr>
                <w:p w14:paraId="6558C5B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p>
              </w:tc>
              <w:tc>
                <w:tcPr>
                  <w:tcW w:w="560" w:type="pct"/>
                  <w:vMerge w:val="continue"/>
                  <w:noWrap w:val="0"/>
                  <w:vAlign w:val="center"/>
                </w:tcPr>
                <w:p w14:paraId="3D9815F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p>
              </w:tc>
              <w:tc>
                <w:tcPr>
                  <w:tcW w:w="477" w:type="pct"/>
                  <w:vMerge w:val="continue"/>
                  <w:noWrap w:val="0"/>
                  <w:vAlign w:val="center"/>
                </w:tcPr>
                <w:p w14:paraId="1C9E26C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p>
              </w:tc>
              <w:tc>
                <w:tcPr>
                  <w:tcW w:w="660" w:type="pct"/>
                  <w:noWrap w:val="0"/>
                  <w:vAlign w:val="center"/>
                </w:tcPr>
                <w:p w14:paraId="744401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Cm（mg/m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rPr>
                    <w:t>）</w:t>
                  </w:r>
                </w:p>
              </w:tc>
              <w:tc>
                <w:tcPr>
                  <w:tcW w:w="292" w:type="pct"/>
                  <w:noWrap w:val="0"/>
                  <w:vAlign w:val="center"/>
                </w:tcPr>
                <w:p w14:paraId="1F3A64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A</w:t>
                  </w:r>
                </w:p>
              </w:tc>
              <w:tc>
                <w:tcPr>
                  <w:tcW w:w="373" w:type="pct"/>
                  <w:noWrap w:val="0"/>
                  <w:vAlign w:val="center"/>
                </w:tcPr>
                <w:p w14:paraId="27368F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B</w:t>
                  </w:r>
                </w:p>
              </w:tc>
              <w:tc>
                <w:tcPr>
                  <w:tcW w:w="315" w:type="pct"/>
                  <w:noWrap w:val="0"/>
                  <w:vAlign w:val="center"/>
                </w:tcPr>
                <w:p w14:paraId="4539DA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C</w:t>
                  </w:r>
                </w:p>
              </w:tc>
              <w:tc>
                <w:tcPr>
                  <w:tcW w:w="325" w:type="pct"/>
                  <w:noWrap w:val="0"/>
                  <w:vAlign w:val="center"/>
                </w:tcPr>
                <w:p w14:paraId="2CEAF6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D</w:t>
                  </w:r>
                </w:p>
              </w:tc>
              <w:tc>
                <w:tcPr>
                  <w:tcW w:w="441" w:type="pct"/>
                  <w:noWrap w:val="0"/>
                  <w:vAlign w:val="center"/>
                </w:tcPr>
                <w:p w14:paraId="386300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L计（m）</w:t>
                  </w:r>
                </w:p>
              </w:tc>
              <w:tc>
                <w:tcPr>
                  <w:tcW w:w="441" w:type="pct"/>
                  <w:noWrap w:val="0"/>
                  <w:vAlign w:val="center"/>
                </w:tcPr>
                <w:p w14:paraId="7E447A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L卫（m）</w:t>
                  </w:r>
                </w:p>
              </w:tc>
              <w:tc>
                <w:tcPr>
                  <w:tcW w:w="441" w:type="pct"/>
                  <w:noWrap w:val="0"/>
                  <w:vAlign w:val="center"/>
                </w:tcPr>
                <w:p w14:paraId="5A5949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L</w:t>
                  </w:r>
                  <w:r>
                    <w:rPr>
                      <w:rFonts w:hint="default" w:ascii="Times New Roman" w:hAnsi="Times New Roman" w:eastAsia="宋体" w:cs="Times New Roman"/>
                      <w:b/>
                      <w:bCs/>
                      <w:color w:val="auto"/>
                      <w:sz w:val="21"/>
                      <w:szCs w:val="21"/>
                      <w:lang w:val="en-US" w:eastAsia="zh-CN"/>
                    </w:rPr>
                    <w:t>总</w:t>
                  </w:r>
                  <w:r>
                    <w:rPr>
                      <w:rFonts w:hint="default" w:ascii="Times New Roman" w:hAnsi="Times New Roman" w:eastAsia="宋体" w:cs="Times New Roman"/>
                      <w:b/>
                      <w:bCs/>
                      <w:color w:val="auto"/>
                      <w:sz w:val="21"/>
                      <w:szCs w:val="21"/>
                    </w:rPr>
                    <w:t>（m）</w:t>
                  </w:r>
                </w:p>
              </w:tc>
            </w:tr>
            <w:tr w14:paraId="772E74A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PrEx>
              <w:tc>
                <w:tcPr>
                  <w:tcW w:w="312" w:type="pct"/>
                  <w:vMerge w:val="restart"/>
                  <w:tcBorders>
                    <w:top w:val="single" w:color="auto" w:sz="4" w:space="0"/>
                  </w:tcBorders>
                  <w:noWrap w:val="0"/>
                  <w:vAlign w:val="center"/>
                </w:tcPr>
                <w:p w14:paraId="0B1FCDF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358" w:type="pct"/>
                  <w:noWrap w:val="0"/>
                  <w:vAlign w:val="center"/>
                </w:tcPr>
                <w:p w14:paraId="29AD96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i w:val="0"/>
                      <w:iCs w:val="0"/>
                      <w:snapToGrid w:val="0"/>
                      <w:color w:val="auto"/>
                      <w:kern w:val="0"/>
                      <w:sz w:val="21"/>
                      <w:szCs w:val="21"/>
                      <w:u w:val="none"/>
                      <w:lang w:val="en-US" w:eastAsia="zh-CN" w:bidi="ar"/>
                    </w:rPr>
                    <w:t>非甲烷总烃</w:t>
                  </w:r>
                </w:p>
              </w:tc>
              <w:tc>
                <w:tcPr>
                  <w:tcW w:w="560" w:type="pct"/>
                  <w:noWrap w:val="0"/>
                  <w:vAlign w:val="center"/>
                </w:tcPr>
                <w:p w14:paraId="27E8AE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0.0</w:t>
                  </w:r>
                  <w:r>
                    <w:rPr>
                      <w:rFonts w:hint="eastAsia" w:cs="Times New Roman"/>
                      <w:i w:val="0"/>
                      <w:iCs w:val="0"/>
                      <w:snapToGrid w:val="0"/>
                      <w:color w:val="auto"/>
                      <w:kern w:val="0"/>
                      <w:sz w:val="21"/>
                      <w:szCs w:val="21"/>
                      <w:u w:val="none"/>
                      <w:lang w:val="en-US" w:eastAsia="zh-CN" w:bidi="ar"/>
                    </w:rPr>
                    <w:t>1</w:t>
                  </w:r>
                </w:p>
              </w:tc>
              <w:tc>
                <w:tcPr>
                  <w:tcW w:w="477" w:type="pct"/>
                  <w:noWrap w:val="0"/>
                  <w:vAlign w:val="center"/>
                </w:tcPr>
                <w:p w14:paraId="5F3FC3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1056</w:t>
                  </w:r>
                </w:p>
              </w:tc>
              <w:tc>
                <w:tcPr>
                  <w:tcW w:w="660" w:type="pct"/>
                  <w:noWrap w:val="0"/>
                  <w:vAlign w:val="center"/>
                </w:tcPr>
                <w:p w14:paraId="5E4C9B8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2.0</w:t>
                  </w:r>
                </w:p>
              </w:tc>
              <w:tc>
                <w:tcPr>
                  <w:tcW w:w="292" w:type="pct"/>
                  <w:noWrap w:val="0"/>
                  <w:vAlign w:val="center"/>
                </w:tcPr>
                <w:p w14:paraId="48D3667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470</w:t>
                  </w:r>
                </w:p>
              </w:tc>
              <w:tc>
                <w:tcPr>
                  <w:tcW w:w="373" w:type="pct"/>
                  <w:noWrap w:val="0"/>
                  <w:vAlign w:val="center"/>
                </w:tcPr>
                <w:p w14:paraId="2CCE89E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0.021</w:t>
                  </w:r>
                </w:p>
              </w:tc>
              <w:tc>
                <w:tcPr>
                  <w:tcW w:w="315" w:type="pct"/>
                  <w:noWrap w:val="0"/>
                  <w:vAlign w:val="center"/>
                </w:tcPr>
                <w:p w14:paraId="2B53624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w:t>
                  </w:r>
                </w:p>
              </w:tc>
              <w:tc>
                <w:tcPr>
                  <w:tcW w:w="325" w:type="pct"/>
                  <w:noWrap w:val="0"/>
                  <w:vAlign w:val="center"/>
                </w:tcPr>
                <w:p w14:paraId="0E54E42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0.84</w:t>
                  </w:r>
                </w:p>
              </w:tc>
              <w:tc>
                <w:tcPr>
                  <w:tcW w:w="441" w:type="pct"/>
                  <w:noWrap w:val="0"/>
                  <w:vAlign w:val="center"/>
                </w:tcPr>
                <w:p w14:paraId="4830C06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20</w:t>
                  </w:r>
                </w:p>
              </w:tc>
              <w:tc>
                <w:tcPr>
                  <w:tcW w:w="441" w:type="pct"/>
                  <w:noWrap w:val="0"/>
                  <w:vAlign w:val="center"/>
                </w:tcPr>
                <w:p w14:paraId="5844895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w:t>
                  </w:r>
                </w:p>
              </w:tc>
              <w:tc>
                <w:tcPr>
                  <w:tcW w:w="441" w:type="pct"/>
                  <w:vMerge w:val="restart"/>
                  <w:noWrap w:val="0"/>
                  <w:vAlign w:val="center"/>
                </w:tcPr>
                <w:p w14:paraId="2EF64B7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w:t>
                  </w:r>
                </w:p>
              </w:tc>
            </w:tr>
            <w:tr w14:paraId="293D20F3">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c>
                <w:tcPr>
                  <w:tcW w:w="312" w:type="pct"/>
                  <w:vMerge w:val="continue"/>
                  <w:noWrap w:val="0"/>
                  <w:vAlign w:val="center"/>
                </w:tcPr>
                <w:p w14:paraId="1593C7C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358" w:type="pct"/>
                  <w:noWrap w:val="0"/>
                  <w:vAlign w:val="center"/>
                </w:tcPr>
                <w:p w14:paraId="5AD756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颗粒物</w:t>
                  </w:r>
                </w:p>
              </w:tc>
              <w:tc>
                <w:tcPr>
                  <w:tcW w:w="560" w:type="pct"/>
                  <w:noWrap w:val="0"/>
                  <w:vAlign w:val="center"/>
                </w:tcPr>
                <w:p w14:paraId="34B119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0.0</w:t>
                  </w:r>
                  <w:r>
                    <w:rPr>
                      <w:rFonts w:hint="eastAsia" w:cs="Times New Roman"/>
                      <w:i w:val="0"/>
                      <w:iCs w:val="0"/>
                      <w:snapToGrid w:val="0"/>
                      <w:color w:val="auto"/>
                      <w:kern w:val="0"/>
                      <w:sz w:val="21"/>
                      <w:szCs w:val="21"/>
                      <w:u w:val="none"/>
                      <w:lang w:val="en-US" w:eastAsia="zh-CN" w:bidi="ar"/>
                    </w:rPr>
                    <w:t>3</w:t>
                  </w:r>
                </w:p>
              </w:tc>
              <w:tc>
                <w:tcPr>
                  <w:tcW w:w="477" w:type="pct"/>
                  <w:noWrap w:val="0"/>
                  <w:vAlign w:val="center"/>
                </w:tcPr>
                <w:p w14:paraId="61CD09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1056</w:t>
                  </w:r>
                </w:p>
              </w:tc>
              <w:tc>
                <w:tcPr>
                  <w:tcW w:w="660" w:type="pct"/>
                  <w:noWrap w:val="0"/>
                  <w:vAlign w:val="center"/>
                </w:tcPr>
                <w:p w14:paraId="5C72DA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0.45</w:t>
                  </w:r>
                </w:p>
              </w:tc>
              <w:tc>
                <w:tcPr>
                  <w:tcW w:w="292" w:type="pct"/>
                  <w:shd w:val="clear" w:color="auto" w:fill="auto"/>
                  <w:noWrap w:val="0"/>
                  <w:vAlign w:val="center"/>
                </w:tcPr>
                <w:p w14:paraId="5D4E665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470</w:t>
                  </w:r>
                </w:p>
              </w:tc>
              <w:tc>
                <w:tcPr>
                  <w:tcW w:w="373" w:type="pct"/>
                  <w:shd w:val="clear" w:color="auto" w:fill="auto"/>
                  <w:noWrap w:val="0"/>
                  <w:vAlign w:val="center"/>
                </w:tcPr>
                <w:p w14:paraId="12FE41D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0.021</w:t>
                  </w:r>
                </w:p>
              </w:tc>
              <w:tc>
                <w:tcPr>
                  <w:tcW w:w="315" w:type="pct"/>
                  <w:shd w:val="clear" w:color="auto" w:fill="auto"/>
                  <w:noWrap w:val="0"/>
                  <w:vAlign w:val="center"/>
                </w:tcPr>
                <w:p w14:paraId="59A1D5B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1.85</w:t>
                  </w:r>
                </w:p>
              </w:tc>
              <w:tc>
                <w:tcPr>
                  <w:tcW w:w="325" w:type="pct"/>
                  <w:shd w:val="clear" w:color="auto" w:fill="auto"/>
                  <w:noWrap w:val="0"/>
                  <w:vAlign w:val="center"/>
                </w:tcPr>
                <w:p w14:paraId="35C2839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0.84</w:t>
                  </w:r>
                </w:p>
              </w:tc>
              <w:tc>
                <w:tcPr>
                  <w:tcW w:w="441" w:type="pct"/>
                  <w:noWrap w:val="0"/>
                  <w:vAlign w:val="center"/>
                </w:tcPr>
                <w:p w14:paraId="5798AF3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4.31</w:t>
                  </w:r>
                </w:p>
              </w:tc>
              <w:tc>
                <w:tcPr>
                  <w:tcW w:w="441" w:type="pct"/>
                  <w:noWrap w:val="0"/>
                  <w:vAlign w:val="center"/>
                </w:tcPr>
                <w:p w14:paraId="1B0F864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441" w:type="pct"/>
                  <w:vMerge w:val="continue"/>
                  <w:noWrap w:val="0"/>
                  <w:vAlign w:val="center"/>
                </w:tcPr>
                <w:p w14:paraId="5AC2117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r>
          </w:tbl>
          <w:p w14:paraId="597251DB">
            <w:pPr>
              <w:ind w:firstLine="480"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rPr>
              <w:t>根据《大气有害物质无组织排放卫生防护距离推导技术导则》（GB/T 39499-2020）</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确定本项目卫生防护距离是以</w:t>
            </w:r>
            <w:r>
              <w:rPr>
                <w:rFonts w:hint="default" w:ascii="Times New Roman" w:hAnsi="Times New Roman" w:eastAsia="宋体" w:cs="Times New Roman"/>
                <w:color w:val="auto"/>
                <w:sz w:val="24"/>
                <w:szCs w:val="24"/>
                <w:lang w:val="en-US" w:eastAsia="zh-CN"/>
              </w:rPr>
              <w:t>生产车间</w:t>
            </w:r>
            <w:r>
              <w:rPr>
                <w:rFonts w:hint="default" w:ascii="Times New Roman" w:hAnsi="Times New Roman" w:eastAsia="宋体" w:cs="Times New Roman"/>
                <w:color w:val="auto"/>
                <w:sz w:val="24"/>
                <w:szCs w:val="24"/>
              </w:rPr>
              <w:t>为边界外扩</w:t>
            </w:r>
            <w:r>
              <w:rPr>
                <w:rFonts w:hint="default" w:ascii="Times New Roman" w:hAnsi="Times New Roman" w:eastAsia="宋体" w:cs="Times New Roman"/>
                <w:color w:val="auto"/>
                <w:sz w:val="24"/>
                <w:szCs w:val="24"/>
                <w:lang w:val="en-US" w:eastAsia="zh-CN"/>
              </w:rPr>
              <w:t>100</w:t>
            </w:r>
            <w:r>
              <w:rPr>
                <w:rFonts w:hint="default" w:ascii="Times New Roman" w:hAnsi="Times New Roman" w:eastAsia="宋体" w:cs="Times New Roman"/>
                <w:color w:val="auto"/>
                <w:sz w:val="24"/>
                <w:szCs w:val="24"/>
              </w:rPr>
              <w:t>米范围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经实地勘察，项目卫生防护距离内目前无居住、医院、学校等环境敏感点，将来也不得建设环境敏感点，以避免环境纠纷。</w:t>
            </w:r>
          </w:p>
          <w:p w14:paraId="71D595CA">
            <w:pPr>
              <w:keepNext w:val="0"/>
              <w:keepLines w:val="0"/>
              <w:pageBreakBefore w:val="0"/>
              <w:widowControl w:val="0"/>
              <w:kinsoku/>
              <w:wordWrap/>
              <w:overflowPunct/>
              <w:topLinePunct w:val="0"/>
              <w:autoSpaceDE/>
              <w:autoSpaceDN/>
              <w:bidi w:val="0"/>
              <w:spacing w:line="480" w:lineRule="exact"/>
              <w:ind w:firstLine="0" w:firstLineChars="0"/>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2.6</w:t>
            </w:r>
            <w:r>
              <w:rPr>
                <w:rFonts w:hint="default" w:ascii="Times New Roman" w:hAnsi="Times New Roman" w:eastAsia="宋体" w:cs="Times New Roman"/>
                <w:b/>
                <w:bCs/>
                <w:color w:val="auto"/>
                <w:sz w:val="24"/>
                <w:szCs w:val="24"/>
                <w:lang w:val="en-US" w:eastAsia="zh-CN"/>
              </w:rPr>
              <w:t>异味影响分析</w:t>
            </w:r>
          </w:p>
          <w:p w14:paraId="5BDF4C56">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eastAsia" w:cs="Times New Roman"/>
                <w:color w:val="auto"/>
                <w:kern w:val="0"/>
                <w:sz w:val="24"/>
                <w:szCs w:val="24"/>
                <w:highlight w:val="none"/>
                <w:shd w:val="clear" w:color="auto" w:fill="auto"/>
                <w:lang w:val="en-US" w:eastAsia="zh-CN"/>
              </w:rPr>
              <w:t>本项目产生氯化氢，属于</w:t>
            </w:r>
            <w:r>
              <w:rPr>
                <w:rFonts w:hint="default" w:ascii="Times New Roman" w:hAnsi="Times New Roman" w:eastAsia="宋体" w:cs="Times New Roman"/>
                <w:color w:val="auto"/>
                <w:kern w:val="0"/>
                <w:sz w:val="24"/>
                <w:szCs w:val="24"/>
                <w:highlight w:val="none"/>
                <w:shd w:val="clear" w:color="auto" w:fill="auto"/>
              </w:rPr>
              <w:t>刺激性气味气体，其主要危害为：</w:t>
            </w:r>
          </w:p>
          <w:p w14:paraId="7A1424C4">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①危害呼吸系统。人们突然闻到异味，就会产生反射性的抑制吸气，是呼吸次数减少，深度变浅，甚至会暂时停止呼吸，妨碍正常呼吸功能。</w:t>
            </w:r>
          </w:p>
          <w:p w14:paraId="65915F5C">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②危害循环系统。随着呼吸的变化，会出现脉搏和血压的变化。</w:t>
            </w:r>
          </w:p>
          <w:p w14:paraId="6580327C">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③危害消化系统。经常接触异味，会使人厌食，恶心，甚至呕吐，进而发展为消化功能减退。</w:t>
            </w:r>
          </w:p>
          <w:p w14:paraId="36E5EFD2">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④危害内分泌系统。经常受异味刺激，会使内分泌系统的分泌功能紊乱，影响机体的代谢活动。</w:t>
            </w:r>
          </w:p>
          <w:p w14:paraId="409D3DEC">
            <w:pPr>
              <w:pStyle w:val="14"/>
              <w:keepNext w:val="0"/>
              <w:keepLines w:val="0"/>
              <w:pageBreakBefore w:val="0"/>
              <w:widowControl w:val="0"/>
              <w:kinsoku/>
              <w:wordWrap/>
              <w:overflowPunct/>
              <w:topLinePunct w:val="0"/>
              <w:autoSpaceDE/>
              <w:autoSpaceDN/>
              <w:bidi w:val="0"/>
              <w:adjustRightInd w:val="0"/>
              <w:snapToGrid w:val="0"/>
              <w:spacing w:line="480" w:lineRule="exact"/>
              <w:ind w:firstLine="48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⑤危害神经系统。长期受到一种或几种低浓度异味物质的刺激，会引起嗅觉脱失、嗅觉疲劳等障碍。“久闻而不知其臭”，使嗅觉丧失了第一道防御功能，但脑神经仍不断</w:t>
            </w:r>
            <w:r>
              <w:rPr>
                <w:rFonts w:hint="default" w:ascii="Times New Roman" w:hAnsi="Times New Roman" w:eastAsia="宋体" w:cs="Times New Roman"/>
                <w:color w:val="auto"/>
                <w:kern w:val="0"/>
                <w:sz w:val="24"/>
                <w:szCs w:val="24"/>
                <w:highlight w:val="none"/>
                <w:shd w:val="clear" w:color="auto" w:fill="auto"/>
                <w:lang w:val="en-US" w:eastAsia="zh-CN"/>
              </w:rPr>
              <w:t>受到</w:t>
            </w:r>
            <w:r>
              <w:rPr>
                <w:rFonts w:hint="default" w:ascii="Times New Roman" w:hAnsi="Times New Roman" w:eastAsia="宋体" w:cs="Times New Roman"/>
                <w:color w:val="auto"/>
                <w:kern w:val="0"/>
                <w:sz w:val="24"/>
                <w:szCs w:val="24"/>
                <w:highlight w:val="none"/>
                <w:shd w:val="clear" w:color="auto" w:fill="auto"/>
              </w:rPr>
              <w:t>刺激和损伤，最后导致大脑皮层兴奋和抑制的调节失调。</w:t>
            </w:r>
          </w:p>
          <w:p w14:paraId="4592EEDF">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b w:val="0"/>
                <w:bCs/>
                <w:color w:val="auto"/>
                <w:kern w:val="0"/>
                <w:sz w:val="24"/>
                <w:szCs w:val="24"/>
                <w:highlight w:val="none"/>
                <w:shd w:val="clear" w:color="auto" w:fill="auto"/>
              </w:rPr>
              <w:t>为了减小异味对周边环境的影响，本项目需加强厂房排气，增加空气流通，并且</w:t>
            </w:r>
            <w:r>
              <w:rPr>
                <w:rFonts w:hint="default" w:ascii="Times New Roman" w:hAnsi="Times New Roman" w:eastAsia="宋体" w:cs="Times New Roman"/>
                <w:color w:val="auto"/>
                <w:kern w:val="0"/>
                <w:sz w:val="24"/>
                <w:szCs w:val="24"/>
                <w:highlight w:val="none"/>
                <w:shd w:val="clear" w:color="auto" w:fill="auto"/>
              </w:rPr>
              <w:t>通过厂区周边绿化树木的吸收，确保异味对周边环境的影响较小。</w:t>
            </w:r>
          </w:p>
          <w:p w14:paraId="0C773224">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环境影响结论</w:t>
            </w:r>
          </w:p>
          <w:p w14:paraId="625A5D95">
            <w:pPr>
              <w:ind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bCs/>
                <w:color w:val="auto"/>
                <w:sz w:val="24"/>
                <w:highlight w:val="none"/>
                <w:shd w:val="clear" w:color="auto" w:fill="auto"/>
              </w:rPr>
              <w:t>本项目位于环境空气质量非达标区，企业卫生防护距离范围内不涉及居民、学校等环境敏感保护目标。本项目产生的各类大气污染物经采取有效的污染防治措施治理后排放，各大气污染物排放强度较低，对大气环境影响较小，周边大气环境可基本维持现状，但仍要加强污染控制管理，减少非正常排放情况的发生</w:t>
            </w:r>
            <w:r>
              <w:rPr>
                <w:rFonts w:hint="default" w:ascii="Times New Roman" w:hAnsi="Times New Roman" w:eastAsia="宋体" w:cs="Times New Roman"/>
                <w:color w:val="auto"/>
                <w:sz w:val="24"/>
                <w:highlight w:val="none"/>
                <w:shd w:val="clear" w:color="auto" w:fill="auto"/>
              </w:rPr>
              <w:t>。</w:t>
            </w:r>
          </w:p>
          <w:p w14:paraId="5225D751">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3、噪声</w:t>
            </w:r>
          </w:p>
          <w:p w14:paraId="5098ED86">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3.1噪声产生环节及源强</w:t>
            </w:r>
          </w:p>
          <w:p w14:paraId="034A79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color w:val="auto"/>
                <w:sz w:val="24"/>
                <w:szCs w:val="24"/>
              </w:rPr>
              <w:t>项目噪声主要来源于各生产、公辅设备的工作噪声，根据类比，主要噪声强源在75~</w:t>
            </w:r>
            <w:r>
              <w:rPr>
                <w:rFonts w:hint="default" w:ascii="Times New Roman" w:hAnsi="Times New Roman" w:eastAsia="宋体" w:cs="Times New Roman"/>
                <w:color w:val="auto"/>
                <w:sz w:val="24"/>
                <w:szCs w:val="24"/>
                <w:lang w:val="en-US" w:eastAsia="zh-CN"/>
              </w:rPr>
              <w:t>85</w:t>
            </w:r>
            <w:r>
              <w:rPr>
                <w:rFonts w:hint="default" w:ascii="Times New Roman" w:hAnsi="Times New Roman" w:eastAsia="宋体" w:cs="Times New Roman"/>
                <w:color w:val="auto"/>
                <w:sz w:val="24"/>
                <w:szCs w:val="24"/>
              </w:rPr>
              <w:t>dB（A）之间，主要噪声源强见下表</w:t>
            </w:r>
            <w:r>
              <w:rPr>
                <w:rFonts w:hint="default" w:ascii="Times New Roman" w:hAnsi="Times New Roman" w:eastAsia="宋体" w:cs="Times New Roman"/>
                <w:color w:val="auto"/>
                <w:sz w:val="24"/>
                <w:szCs w:val="24"/>
                <w:lang w:eastAsia="zh-CN"/>
              </w:rPr>
              <w:t>。</w:t>
            </w:r>
          </w:p>
          <w:p w14:paraId="439A42B7">
            <w:pPr>
              <w:spacing w:line="240" w:lineRule="auto"/>
              <w:ind w:firstLine="0" w:firstLineChars="0"/>
              <w:rPr>
                <w:rFonts w:hint="default" w:ascii="Times New Roman" w:hAnsi="Times New Roman" w:eastAsia="宋体" w:cs="Times New Roman"/>
                <w:color w:val="auto"/>
                <w:sz w:val="24"/>
                <w:szCs w:val="24"/>
              </w:rPr>
            </w:pPr>
          </w:p>
        </w:tc>
      </w:tr>
    </w:tbl>
    <w:p w14:paraId="2BB466AC">
      <w:pPr>
        <w:ind w:firstLine="420"/>
        <w:rPr>
          <w:rFonts w:hint="default" w:ascii="Times New Roman" w:hAnsi="Times New Roman" w:eastAsia="宋体" w:cs="Times New Roman"/>
          <w:color w:val="auto"/>
        </w:rPr>
        <w:sectPr>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tbl>
      <w:tblPr>
        <w:tblStyle w:val="44"/>
        <w:tblW w:w="562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5532"/>
      </w:tblGrid>
      <w:tr w14:paraId="474854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39" w:hRule="atLeast"/>
          <w:jc w:val="center"/>
        </w:trPr>
        <w:tc>
          <w:tcPr>
            <w:tcW w:w="113" w:type="pct"/>
            <w:noWrap w:val="0"/>
            <w:vAlign w:val="center"/>
          </w:tcPr>
          <w:p w14:paraId="026735FA">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rPr>
              <w:t>运营期环境影响和保护措施</w:t>
            </w:r>
          </w:p>
        </w:tc>
        <w:tc>
          <w:tcPr>
            <w:tcW w:w="4886" w:type="pct"/>
            <w:noWrap w:val="0"/>
            <w:vAlign w:val="top"/>
          </w:tcPr>
          <w:p w14:paraId="2C83869A">
            <w:pPr>
              <w:spacing w:line="240" w:lineRule="auto"/>
              <w:ind w:firstLine="0" w:firstLineChars="0"/>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本项目主要噪声源强</w:t>
            </w:r>
            <w:r>
              <w:rPr>
                <w:rFonts w:hint="default" w:ascii="Times New Roman" w:hAnsi="Times New Roman" w:eastAsia="宋体" w:cs="Times New Roman"/>
                <w:b/>
                <w:bCs/>
                <w:color w:val="auto"/>
                <w:sz w:val="21"/>
                <w:szCs w:val="21"/>
                <w:lang w:eastAsia="zh-CN"/>
              </w:rPr>
              <w:t>一览表（</w:t>
            </w:r>
            <w:r>
              <w:rPr>
                <w:rFonts w:hint="default" w:ascii="Times New Roman" w:hAnsi="Times New Roman" w:eastAsia="宋体" w:cs="Times New Roman"/>
                <w:b/>
                <w:bCs/>
                <w:color w:val="auto"/>
                <w:sz w:val="21"/>
                <w:szCs w:val="21"/>
                <w:lang w:val="en-US" w:eastAsia="zh-CN"/>
              </w:rPr>
              <w:t>室内声源</w:t>
            </w:r>
            <w:r>
              <w:rPr>
                <w:rFonts w:hint="default" w:ascii="Times New Roman" w:hAnsi="Times New Roman" w:eastAsia="宋体" w:cs="Times New Roman"/>
                <w:b/>
                <w:bCs/>
                <w:color w:val="auto"/>
                <w:sz w:val="21"/>
                <w:szCs w:val="21"/>
                <w:lang w:eastAsia="zh-CN"/>
              </w:rPr>
              <w:t>）</w:t>
            </w:r>
          </w:p>
          <w:tbl>
            <w:tblPr>
              <w:tblStyle w:val="44"/>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7"/>
              <w:gridCol w:w="898"/>
              <w:gridCol w:w="2176"/>
              <w:gridCol w:w="794"/>
              <w:gridCol w:w="610"/>
              <w:gridCol w:w="1431"/>
              <w:gridCol w:w="1232"/>
              <w:gridCol w:w="644"/>
              <w:gridCol w:w="644"/>
              <w:gridCol w:w="613"/>
              <w:gridCol w:w="913"/>
              <w:gridCol w:w="797"/>
              <w:gridCol w:w="619"/>
              <w:gridCol w:w="1109"/>
              <w:gridCol w:w="1109"/>
              <w:gridCol w:w="1195"/>
            </w:tblGrid>
            <w:tr w14:paraId="1B5C80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vMerge w:val="restart"/>
                  <w:noWrap w:val="0"/>
                  <w:vAlign w:val="center"/>
                </w:tcPr>
                <w:p w14:paraId="0EC6D7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293" w:type="pct"/>
                  <w:vMerge w:val="restart"/>
                  <w:noWrap w:val="0"/>
                  <w:vAlign w:val="center"/>
                </w:tcPr>
                <w:p w14:paraId="6D80542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建筑物名称</w:t>
                  </w:r>
                </w:p>
              </w:tc>
              <w:tc>
                <w:tcPr>
                  <w:tcW w:w="710" w:type="pct"/>
                  <w:vMerge w:val="restart"/>
                  <w:noWrap w:val="0"/>
                  <w:vAlign w:val="center"/>
                </w:tcPr>
                <w:p w14:paraId="7C46E3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声源名称</w:t>
                  </w:r>
                </w:p>
              </w:tc>
              <w:tc>
                <w:tcPr>
                  <w:tcW w:w="259" w:type="pct"/>
                  <w:vMerge w:val="restart"/>
                  <w:noWrap w:val="0"/>
                  <w:vAlign w:val="center"/>
                </w:tcPr>
                <w:p w14:paraId="7C47F2D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型号</w:t>
                  </w:r>
                </w:p>
              </w:tc>
              <w:tc>
                <w:tcPr>
                  <w:tcW w:w="199" w:type="pct"/>
                  <w:vMerge w:val="restart"/>
                  <w:noWrap w:val="0"/>
                  <w:vAlign w:val="center"/>
                </w:tcPr>
                <w:p w14:paraId="2026327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lang w:val="en-US" w:eastAsia="zh-CN"/>
                    </w:rPr>
                    <w:t>数量</w:t>
                  </w:r>
                </w:p>
              </w:tc>
              <w:tc>
                <w:tcPr>
                  <w:tcW w:w="467" w:type="pct"/>
                  <w:noWrap w:val="0"/>
                  <w:vAlign w:val="center"/>
                </w:tcPr>
                <w:p w14:paraId="57BE294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声源源强</w:t>
                  </w:r>
                </w:p>
              </w:tc>
              <w:tc>
                <w:tcPr>
                  <w:tcW w:w="402" w:type="pct"/>
                  <w:vMerge w:val="restart"/>
                  <w:noWrap w:val="0"/>
                  <w:vAlign w:val="center"/>
                </w:tcPr>
                <w:p w14:paraId="6308619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声源控制措施</w:t>
                  </w:r>
                </w:p>
              </w:tc>
              <w:tc>
                <w:tcPr>
                  <w:tcW w:w="620" w:type="pct"/>
                  <w:gridSpan w:val="3"/>
                  <w:noWrap w:val="0"/>
                  <w:vAlign w:val="center"/>
                </w:tcPr>
                <w:p w14:paraId="662B9D4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空间相对位置/m</w:t>
                  </w:r>
                </w:p>
              </w:tc>
              <w:tc>
                <w:tcPr>
                  <w:tcW w:w="298" w:type="pct"/>
                  <w:vMerge w:val="restart"/>
                  <w:noWrap w:val="0"/>
                  <w:vAlign w:val="center"/>
                </w:tcPr>
                <w:p w14:paraId="252D40D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距室内边界</w:t>
                  </w:r>
                  <w:r>
                    <w:rPr>
                      <w:rFonts w:hint="default" w:ascii="Times New Roman" w:hAnsi="Times New Roman" w:eastAsia="宋体" w:cs="Times New Roman"/>
                      <w:b/>
                      <w:color w:val="auto"/>
                      <w:sz w:val="21"/>
                      <w:szCs w:val="21"/>
                      <w:lang w:eastAsia="zh-CN"/>
                    </w:rPr>
                    <w:t>最近</w:t>
                  </w:r>
                  <w:r>
                    <w:rPr>
                      <w:rFonts w:hint="default" w:ascii="Times New Roman" w:hAnsi="Times New Roman" w:eastAsia="宋体" w:cs="Times New Roman"/>
                      <w:b/>
                      <w:color w:val="auto"/>
                      <w:sz w:val="21"/>
                      <w:szCs w:val="21"/>
                    </w:rPr>
                    <w:t>距离/m</w:t>
                  </w:r>
                </w:p>
              </w:tc>
              <w:tc>
                <w:tcPr>
                  <w:tcW w:w="260" w:type="pct"/>
                  <w:vMerge w:val="restart"/>
                  <w:noWrap w:val="0"/>
                  <w:vAlign w:val="center"/>
                </w:tcPr>
                <w:p w14:paraId="272269A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室内边界声级</w:t>
                  </w:r>
                </w:p>
              </w:tc>
              <w:tc>
                <w:tcPr>
                  <w:tcW w:w="202" w:type="pct"/>
                  <w:vMerge w:val="restart"/>
                  <w:noWrap w:val="0"/>
                  <w:vAlign w:val="center"/>
                </w:tcPr>
                <w:p w14:paraId="48ADE42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运行时段</w:t>
                  </w:r>
                </w:p>
              </w:tc>
              <w:tc>
                <w:tcPr>
                  <w:tcW w:w="362" w:type="pct"/>
                  <w:vMerge w:val="restart"/>
                  <w:noWrap w:val="0"/>
                  <w:vAlign w:val="center"/>
                </w:tcPr>
                <w:p w14:paraId="11BD335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建筑物插入损失/dB</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A</w:t>
                  </w:r>
                  <w:r>
                    <w:rPr>
                      <w:rFonts w:hint="default" w:ascii="Times New Roman" w:hAnsi="Times New Roman" w:eastAsia="宋体" w:cs="Times New Roman"/>
                      <w:b/>
                      <w:color w:val="auto"/>
                      <w:sz w:val="21"/>
                      <w:szCs w:val="21"/>
                      <w:lang w:eastAsia="zh-CN"/>
                    </w:rPr>
                    <w:t>）</w:t>
                  </w:r>
                </w:p>
              </w:tc>
              <w:tc>
                <w:tcPr>
                  <w:tcW w:w="752" w:type="pct"/>
                  <w:gridSpan w:val="2"/>
                  <w:noWrap w:val="0"/>
                  <w:vAlign w:val="center"/>
                </w:tcPr>
                <w:p w14:paraId="568A7AE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建筑物外噪声</w:t>
                  </w:r>
                </w:p>
              </w:tc>
            </w:tr>
            <w:tr w14:paraId="76B5E6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169" w:type="pct"/>
                  <w:vMerge w:val="continue"/>
                  <w:noWrap w:val="0"/>
                  <w:vAlign w:val="center"/>
                </w:tcPr>
                <w:p w14:paraId="1A539C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293" w:type="pct"/>
                  <w:vMerge w:val="continue"/>
                  <w:noWrap w:val="0"/>
                  <w:vAlign w:val="center"/>
                </w:tcPr>
                <w:p w14:paraId="168D0EF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710" w:type="pct"/>
                  <w:vMerge w:val="continue"/>
                  <w:noWrap w:val="0"/>
                  <w:vAlign w:val="center"/>
                </w:tcPr>
                <w:p w14:paraId="4B684EB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259" w:type="pct"/>
                  <w:vMerge w:val="continue"/>
                  <w:noWrap w:val="0"/>
                  <w:vAlign w:val="center"/>
                </w:tcPr>
                <w:p w14:paraId="381EE82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199" w:type="pct"/>
                  <w:vMerge w:val="continue"/>
                  <w:noWrap w:val="0"/>
                  <w:vAlign w:val="center"/>
                </w:tcPr>
                <w:p w14:paraId="67B6073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467" w:type="pct"/>
                  <w:noWrap w:val="0"/>
                  <w:vAlign w:val="center"/>
                </w:tcPr>
                <w:p w14:paraId="43131FB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声</w:t>
                  </w:r>
                  <w:r>
                    <w:rPr>
                      <w:rFonts w:hint="default" w:ascii="Times New Roman" w:hAnsi="Times New Roman" w:eastAsia="宋体" w:cs="Times New Roman"/>
                      <w:b/>
                      <w:color w:val="auto"/>
                      <w:sz w:val="21"/>
                      <w:szCs w:val="21"/>
                      <w:lang w:eastAsia="zh-CN"/>
                    </w:rPr>
                    <w:t>功率</w:t>
                  </w:r>
                  <w:r>
                    <w:rPr>
                      <w:rFonts w:hint="default" w:ascii="Times New Roman" w:hAnsi="Times New Roman" w:eastAsia="宋体" w:cs="Times New Roman"/>
                      <w:b/>
                      <w:color w:val="auto"/>
                      <w:sz w:val="21"/>
                      <w:szCs w:val="21"/>
                    </w:rPr>
                    <w:t>级/dB</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A</w:t>
                  </w:r>
                  <w:r>
                    <w:rPr>
                      <w:rFonts w:hint="default" w:ascii="Times New Roman" w:hAnsi="Times New Roman" w:eastAsia="宋体" w:cs="Times New Roman"/>
                      <w:b/>
                      <w:color w:val="auto"/>
                      <w:sz w:val="21"/>
                      <w:szCs w:val="21"/>
                      <w:lang w:eastAsia="zh-CN"/>
                    </w:rPr>
                    <w:t>）</w:t>
                  </w:r>
                </w:p>
              </w:tc>
              <w:tc>
                <w:tcPr>
                  <w:tcW w:w="402" w:type="pct"/>
                  <w:vMerge w:val="continue"/>
                  <w:noWrap w:val="0"/>
                  <w:vAlign w:val="center"/>
                </w:tcPr>
                <w:p w14:paraId="4E911CE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210" w:type="pct"/>
                  <w:noWrap w:val="0"/>
                  <w:vAlign w:val="center"/>
                </w:tcPr>
                <w:p w14:paraId="089DF48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X</w:t>
                  </w:r>
                </w:p>
              </w:tc>
              <w:tc>
                <w:tcPr>
                  <w:tcW w:w="210" w:type="pct"/>
                  <w:noWrap w:val="0"/>
                  <w:vAlign w:val="center"/>
                </w:tcPr>
                <w:p w14:paraId="4D12A7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Y</w:t>
                  </w:r>
                </w:p>
              </w:tc>
              <w:tc>
                <w:tcPr>
                  <w:tcW w:w="200" w:type="pct"/>
                  <w:noWrap w:val="0"/>
                  <w:vAlign w:val="center"/>
                </w:tcPr>
                <w:p w14:paraId="3BA0307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Z</w:t>
                  </w:r>
                </w:p>
              </w:tc>
              <w:tc>
                <w:tcPr>
                  <w:tcW w:w="298" w:type="pct"/>
                  <w:vMerge w:val="continue"/>
                  <w:noWrap w:val="0"/>
                  <w:vAlign w:val="center"/>
                </w:tcPr>
                <w:p w14:paraId="060259F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260" w:type="pct"/>
                  <w:vMerge w:val="continue"/>
                  <w:noWrap w:val="0"/>
                  <w:vAlign w:val="center"/>
                </w:tcPr>
                <w:p w14:paraId="65849AE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202" w:type="pct"/>
                  <w:vMerge w:val="continue"/>
                  <w:noWrap w:val="0"/>
                  <w:vAlign w:val="center"/>
                </w:tcPr>
                <w:p w14:paraId="153B73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362" w:type="pct"/>
                  <w:vMerge w:val="continue"/>
                  <w:noWrap w:val="0"/>
                  <w:vAlign w:val="center"/>
                </w:tcPr>
                <w:p w14:paraId="6D22B37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p>
              </w:tc>
              <w:tc>
                <w:tcPr>
                  <w:tcW w:w="362" w:type="pct"/>
                  <w:noWrap w:val="0"/>
                  <w:vAlign w:val="center"/>
                </w:tcPr>
                <w:p w14:paraId="39ED887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声压级/dB</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A</w:t>
                  </w:r>
                  <w:r>
                    <w:rPr>
                      <w:rFonts w:hint="default" w:ascii="Times New Roman" w:hAnsi="Times New Roman" w:eastAsia="宋体" w:cs="Times New Roman"/>
                      <w:b/>
                      <w:color w:val="auto"/>
                      <w:sz w:val="21"/>
                      <w:szCs w:val="21"/>
                      <w:lang w:eastAsia="zh-CN"/>
                    </w:rPr>
                    <w:t>）</w:t>
                  </w:r>
                </w:p>
              </w:tc>
              <w:tc>
                <w:tcPr>
                  <w:tcW w:w="390" w:type="pct"/>
                  <w:noWrap w:val="0"/>
                  <w:vAlign w:val="center"/>
                </w:tcPr>
                <w:p w14:paraId="21DF96F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建筑物外距离</w:t>
                  </w:r>
                </w:p>
              </w:tc>
            </w:tr>
            <w:tr w14:paraId="435E35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56A42D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93" w:type="pct"/>
                  <w:vMerge w:val="restart"/>
                  <w:noWrap w:val="0"/>
                  <w:vAlign w:val="center"/>
                </w:tcPr>
                <w:p w14:paraId="2BCD7ED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车间</w:t>
                  </w:r>
                </w:p>
              </w:tc>
              <w:tc>
                <w:tcPr>
                  <w:tcW w:w="710" w:type="pct"/>
                  <w:noWrap w:val="0"/>
                  <w:vAlign w:val="center"/>
                </w:tcPr>
                <w:p w14:paraId="107FC7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259" w:type="pct"/>
                  <w:noWrap w:val="0"/>
                  <w:vAlign w:val="center"/>
                </w:tcPr>
                <w:p w14:paraId="028E6C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90</w:t>
                  </w:r>
                </w:p>
              </w:tc>
              <w:tc>
                <w:tcPr>
                  <w:tcW w:w="199" w:type="pct"/>
                  <w:noWrap w:val="0"/>
                  <w:vAlign w:val="center"/>
                </w:tcPr>
                <w:p w14:paraId="227CC7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467" w:type="pct"/>
                  <w:noWrap w:val="0"/>
                  <w:vAlign w:val="center"/>
                </w:tcPr>
                <w:p w14:paraId="67222D3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02" w:type="pct"/>
                  <w:vMerge w:val="restart"/>
                  <w:noWrap w:val="0"/>
                  <w:vAlign w:val="center"/>
                </w:tcPr>
                <w:p w14:paraId="161762C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减振、厂房隔音</w:t>
                  </w:r>
                </w:p>
              </w:tc>
              <w:tc>
                <w:tcPr>
                  <w:tcW w:w="210" w:type="pct"/>
                  <w:noWrap w:val="0"/>
                  <w:vAlign w:val="center"/>
                </w:tcPr>
                <w:p w14:paraId="64DC524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5</w:t>
                  </w:r>
                </w:p>
              </w:tc>
              <w:tc>
                <w:tcPr>
                  <w:tcW w:w="210" w:type="pct"/>
                  <w:noWrap w:val="0"/>
                  <w:vAlign w:val="center"/>
                </w:tcPr>
                <w:p w14:paraId="04B42F68">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5</w:t>
                  </w:r>
                </w:p>
              </w:tc>
              <w:tc>
                <w:tcPr>
                  <w:tcW w:w="200" w:type="pct"/>
                  <w:noWrap w:val="0"/>
                  <w:vAlign w:val="center"/>
                </w:tcPr>
                <w:p w14:paraId="33267AD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44CCD9E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w:t>
                  </w:r>
                </w:p>
              </w:tc>
              <w:tc>
                <w:tcPr>
                  <w:tcW w:w="260" w:type="pct"/>
                  <w:noWrap w:val="0"/>
                  <w:vAlign w:val="center"/>
                </w:tcPr>
                <w:p w14:paraId="4D7E8DAC">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67.0</w:t>
                  </w:r>
                </w:p>
              </w:tc>
              <w:tc>
                <w:tcPr>
                  <w:tcW w:w="202" w:type="pct"/>
                  <w:noWrap w:val="0"/>
                  <w:vAlign w:val="center"/>
                </w:tcPr>
                <w:p w14:paraId="04DE033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0213C97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44D4659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47</w:t>
                  </w:r>
                </w:p>
              </w:tc>
              <w:tc>
                <w:tcPr>
                  <w:tcW w:w="390" w:type="pct"/>
                  <w:noWrap w:val="0"/>
                  <w:vAlign w:val="center"/>
                </w:tcPr>
                <w:p w14:paraId="7E7C580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4CF271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2788AFC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293" w:type="pct"/>
                  <w:vMerge w:val="continue"/>
                  <w:noWrap w:val="0"/>
                  <w:vAlign w:val="center"/>
                </w:tcPr>
                <w:p w14:paraId="5B0E963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6D5580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挤塑机</w:t>
                  </w:r>
                </w:p>
              </w:tc>
              <w:tc>
                <w:tcPr>
                  <w:tcW w:w="259" w:type="pct"/>
                  <w:noWrap w:val="0"/>
                  <w:vAlign w:val="center"/>
                </w:tcPr>
                <w:p w14:paraId="461CB3B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45</w:t>
                  </w:r>
                </w:p>
              </w:tc>
              <w:tc>
                <w:tcPr>
                  <w:tcW w:w="199" w:type="pct"/>
                  <w:noWrap w:val="0"/>
                  <w:vAlign w:val="center"/>
                </w:tcPr>
                <w:p w14:paraId="7461BE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467" w:type="pct"/>
                  <w:noWrap w:val="0"/>
                  <w:vAlign w:val="center"/>
                </w:tcPr>
                <w:p w14:paraId="6ED973E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02" w:type="pct"/>
                  <w:vMerge w:val="continue"/>
                  <w:noWrap w:val="0"/>
                  <w:vAlign w:val="center"/>
                </w:tcPr>
                <w:p w14:paraId="66504A5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6608D330">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6</w:t>
                  </w:r>
                </w:p>
              </w:tc>
              <w:tc>
                <w:tcPr>
                  <w:tcW w:w="210" w:type="pct"/>
                  <w:noWrap w:val="0"/>
                  <w:vAlign w:val="center"/>
                </w:tcPr>
                <w:p w14:paraId="3E61C23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5</w:t>
                  </w:r>
                </w:p>
              </w:tc>
              <w:tc>
                <w:tcPr>
                  <w:tcW w:w="200" w:type="pct"/>
                  <w:noWrap w:val="0"/>
                  <w:vAlign w:val="center"/>
                </w:tcPr>
                <w:p w14:paraId="2388D62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521E07B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260" w:type="pct"/>
                  <w:noWrap w:val="0"/>
                  <w:vAlign w:val="center"/>
                </w:tcPr>
                <w:p w14:paraId="23971DFB">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62.4</w:t>
                  </w:r>
                </w:p>
              </w:tc>
              <w:tc>
                <w:tcPr>
                  <w:tcW w:w="202" w:type="pct"/>
                  <w:noWrap w:val="0"/>
                  <w:vAlign w:val="center"/>
                </w:tcPr>
                <w:p w14:paraId="6E7B801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5BF789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4DE4E66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42.4</w:t>
                  </w:r>
                </w:p>
              </w:tc>
              <w:tc>
                <w:tcPr>
                  <w:tcW w:w="390" w:type="pct"/>
                  <w:noWrap w:val="0"/>
                  <w:vAlign w:val="center"/>
                </w:tcPr>
                <w:p w14:paraId="512F762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7C5477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5BD8810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293" w:type="pct"/>
                  <w:vMerge w:val="continue"/>
                  <w:noWrap w:val="0"/>
                  <w:vAlign w:val="center"/>
                </w:tcPr>
                <w:p w14:paraId="115F352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29AB72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搅拌机</w:t>
                  </w:r>
                </w:p>
              </w:tc>
              <w:tc>
                <w:tcPr>
                  <w:tcW w:w="259" w:type="pct"/>
                  <w:noWrap w:val="0"/>
                  <w:vAlign w:val="center"/>
                </w:tcPr>
                <w:p w14:paraId="2D994A3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定制</w:t>
                  </w:r>
                </w:p>
              </w:tc>
              <w:tc>
                <w:tcPr>
                  <w:tcW w:w="199" w:type="pct"/>
                  <w:noWrap w:val="0"/>
                  <w:vAlign w:val="center"/>
                </w:tcPr>
                <w:p w14:paraId="49932F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w:t>
                  </w:r>
                </w:p>
              </w:tc>
              <w:tc>
                <w:tcPr>
                  <w:tcW w:w="467" w:type="pct"/>
                  <w:noWrap w:val="0"/>
                  <w:vAlign w:val="center"/>
                </w:tcPr>
                <w:p w14:paraId="20C72EB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02" w:type="pct"/>
                  <w:vMerge w:val="continue"/>
                  <w:noWrap w:val="0"/>
                  <w:vAlign w:val="center"/>
                </w:tcPr>
                <w:p w14:paraId="76BD8BE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7146FF46">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5</w:t>
                  </w:r>
                </w:p>
              </w:tc>
              <w:tc>
                <w:tcPr>
                  <w:tcW w:w="210" w:type="pct"/>
                  <w:noWrap w:val="0"/>
                  <w:vAlign w:val="center"/>
                </w:tcPr>
                <w:p w14:paraId="18A2E299">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6</w:t>
                  </w:r>
                </w:p>
              </w:tc>
              <w:tc>
                <w:tcPr>
                  <w:tcW w:w="200" w:type="pct"/>
                  <w:noWrap w:val="0"/>
                  <w:vAlign w:val="center"/>
                </w:tcPr>
                <w:p w14:paraId="347A98C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647D17B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260" w:type="pct"/>
                  <w:noWrap w:val="0"/>
                  <w:vAlign w:val="center"/>
                </w:tcPr>
                <w:p w14:paraId="0EFD7761">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61.0</w:t>
                  </w:r>
                </w:p>
              </w:tc>
              <w:tc>
                <w:tcPr>
                  <w:tcW w:w="202" w:type="pct"/>
                  <w:noWrap w:val="0"/>
                  <w:vAlign w:val="center"/>
                </w:tcPr>
                <w:p w14:paraId="300682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0D18BB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3D2B762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41</w:t>
                  </w:r>
                </w:p>
              </w:tc>
              <w:tc>
                <w:tcPr>
                  <w:tcW w:w="390" w:type="pct"/>
                  <w:noWrap w:val="0"/>
                  <w:vAlign w:val="center"/>
                </w:tcPr>
                <w:p w14:paraId="7C3CBE5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2A86C3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25951C2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293" w:type="pct"/>
                  <w:vMerge w:val="continue"/>
                  <w:noWrap w:val="0"/>
                  <w:vAlign w:val="center"/>
                </w:tcPr>
                <w:p w14:paraId="5045869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31C30E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破碎机</w:t>
                  </w:r>
                </w:p>
              </w:tc>
              <w:tc>
                <w:tcPr>
                  <w:tcW w:w="259" w:type="pct"/>
                  <w:noWrap w:val="0"/>
                  <w:vAlign w:val="center"/>
                </w:tcPr>
                <w:p w14:paraId="5F9587F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eastAsia" w:cs="Times New Roman"/>
                      <w:color w:val="auto"/>
                      <w:kern w:val="2"/>
                      <w:sz w:val="21"/>
                      <w:szCs w:val="21"/>
                      <w:lang w:val="en-US" w:eastAsia="zh-CN" w:bidi="ar-SA"/>
                    </w:rPr>
                    <w:t>/</w:t>
                  </w:r>
                </w:p>
              </w:tc>
              <w:tc>
                <w:tcPr>
                  <w:tcW w:w="199" w:type="pct"/>
                  <w:noWrap w:val="0"/>
                  <w:vAlign w:val="center"/>
                </w:tcPr>
                <w:p w14:paraId="2DF186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467" w:type="pct"/>
                  <w:noWrap w:val="0"/>
                  <w:vAlign w:val="center"/>
                </w:tcPr>
                <w:p w14:paraId="6A4F3BD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402" w:type="pct"/>
                  <w:vMerge w:val="continue"/>
                  <w:noWrap w:val="0"/>
                  <w:vAlign w:val="center"/>
                </w:tcPr>
                <w:p w14:paraId="5D0A562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3A69B3E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36</w:t>
                  </w:r>
                </w:p>
              </w:tc>
              <w:tc>
                <w:tcPr>
                  <w:tcW w:w="210" w:type="pct"/>
                  <w:noWrap w:val="0"/>
                  <w:vAlign w:val="center"/>
                </w:tcPr>
                <w:p w14:paraId="6D570CE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1"/>
                      <w:szCs w:val="21"/>
                      <w:u w:val="none"/>
                      <w:lang w:val="en-US" w:eastAsia="zh-CN" w:bidi="ar"/>
                    </w:rPr>
                    <w:t>15</w:t>
                  </w:r>
                </w:p>
              </w:tc>
              <w:tc>
                <w:tcPr>
                  <w:tcW w:w="200" w:type="pct"/>
                  <w:noWrap w:val="0"/>
                  <w:vAlign w:val="center"/>
                </w:tcPr>
                <w:p w14:paraId="171A199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6034119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w:t>
                  </w:r>
                </w:p>
              </w:tc>
              <w:tc>
                <w:tcPr>
                  <w:tcW w:w="260" w:type="pct"/>
                  <w:noWrap w:val="0"/>
                  <w:vAlign w:val="center"/>
                </w:tcPr>
                <w:p w14:paraId="1F164E4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61.9</w:t>
                  </w:r>
                </w:p>
              </w:tc>
              <w:tc>
                <w:tcPr>
                  <w:tcW w:w="202" w:type="pct"/>
                  <w:noWrap w:val="0"/>
                  <w:vAlign w:val="center"/>
                </w:tcPr>
                <w:p w14:paraId="2ED6B03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3CC5B9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7DD777F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41.9</w:t>
                  </w:r>
                </w:p>
              </w:tc>
              <w:tc>
                <w:tcPr>
                  <w:tcW w:w="390" w:type="pct"/>
                  <w:noWrap w:val="0"/>
                  <w:vAlign w:val="center"/>
                </w:tcPr>
                <w:p w14:paraId="1CF53DF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61DE22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521994F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293" w:type="pct"/>
                  <w:vMerge w:val="continue"/>
                  <w:noWrap w:val="0"/>
                  <w:vAlign w:val="center"/>
                </w:tcPr>
                <w:p w14:paraId="00D8254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0D4FED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塑胶挤出机</w:t>
                  </w:r>
                </w:p>
              </w:tc>
              <w:tc>
                <w:tcPr>
                  <w:tcW w:w="259" w:type="pct"/>
                  <w:noWrap w:val="0"/>
                  <w:vAlign w:val="center"/>
                </w:tcPr>
                <w:p w14:paraId="61569D8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125</w:t>
                  </w:r>
                </w:p>
              </w:tc>
              <w:tc>
                <w:tcPr>
                  <w:tcW w:w="199" w:type="pct"/>
                  <w:noWrap w:val="0"/>
                  <w:vAlign w:val="center"/>
                </w:tcPr>
                <w:p w14:paraId="5D899A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467" w:type="pct"/>
                  <w:noWrap w:val="0"/>
                  <w:vAlign w:val="center"/>
                </w:tcPr>
                <w:p w14:paraId="18044FB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02" w:type="pct"/>
                  <w:vMerge w:val="continue"/>
                  <w:noWrap w:val="0"/>
                  <w:vAlign w:val="center"/>
                </w:tcPr>
                <w:p w14:paraId="2BED93E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1124824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210" w:type="pct"/>
                  <w:noWrap w:val="0"/>
                  <w:vAlign w:val="center"/>
                </w:tcPr>
                <w:p w14:paraId="397D8480">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5</w:t>
                  </w:r>
                </w:p>
              </w:tc>
              <w:tc>
                <w:tcPr>
                  <w:tcW w:w="200" w:type="pct"/>
                  <w:noWrap w:val="0"/>
                  <w:vAlign w:val="center"/>
                </w:tcPr>
                <w:p w14:paraId="7529893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0CDB0BB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w:t>
                  </w:r>
                </w:p>
              </w:tc>
              <w:tc>
                <w:tcPr>
                  <w:tcW w:w="260" w:type="pct"/>
                  <w:noWrap w:val="0"/>
                  <w:vAlign w:val="center"/>
                </w:tcPr>
                <w:p w14:paraId="1C413181">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58.9</w:t>
                  </w:r>
                </w:p>
              </w:tc>
              <w:tc>
                <w:tcPr>
                  <w:tcW w:w="202" w:type="pct"/>
                  <w:noWrap w:val="0"/>
                  <w:vAlign w:val="center"/>
                </w:tcPr>
                <w:p w14:paraId="2012FB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4DB122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1E2793F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38.9</w:t>
                  </w:r>
                </w:p>
              </w:tc>
              <w:tc>
                <w:tcPr>
                  <w:tcW w:w="390" w:type="pct"/>
                  <w:noWrap w:val="0"/>
                  <w:vAlign w:val="center"/>
                </w:tcPr>
                <w:p w14:paraId="20B9706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0ED076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372B240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293" w:type="pct"/>
                  <w:vMerge w:val="continue"/>
                  <w:noWrap w:val="0"/>
                  <w:vAlign w:val="center"/>
                </w:tcPr>
                <w:p w14:paraId="264D78F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17B77CC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烘干机</w:t>
                  </w:r>
                </w:p>
              </w:tc>
              <w:tc>
                <w:tcPr>
                  <w:tcW w:w="259" w:type="pct"/>
                  <w:noWrap w:val="0"/>
                  <w:vAlign w:val="center"/>
                </w:tcPr>
                <w:p w14:paraId="072A046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定制</w:t>
                  </w:r>
                </w:p>
              </w:tc>
              <w:tc>
                <w:tcPr>
                  <w:tcW w:w="199" w:type="pct"/>
                  <w:noWrap w:val="0"/>
                  <w:vAlign w:val="center"/>
                </w:tcPr>
                <w:p w14:paraId="2EE99B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467" w:type="pct"/>
                  <w:noWrap w:val="0"/>
                  <w:vAlign w:val="center"/>
                </w:tcPr>
                <w:p w14:paraId="2D4A71C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02" w:type="pct"/>
                  <w:vMerge w:val="continue"/>
                  <w:noWrap w:val="0"/>
                  <w:vAlign w:val="center"/>
                </w:tcPr>
                <w:p w14:paraId="4ED48E9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50DE786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2</w:t>
                  </w:r>
                </w:p>
              </w:tc>
              <w:tc>
                <w:tcPr>
                  <w:tcW w:w="210" w:type="pct"/>
                  <w:noWrap w:val="0"/>
                  <w:vAlign w:val="center"/>
                </w:tcPr>
                <w:p w14:paraId="37B4D6F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5</w:t>
                  </w:r>
                </w:p>
              </w:tc>
              <w:tc>
                <w:tcPr>
                  <w:tcW w:w="200" w:type="pct"/>
                  <w:noWrap w:val="0"/>
                  <w:vAlign w:val="center"/>
                </w:tcPr>
                <w:p w14:paraId="719520C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2E41C62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w:t>
                  </w:r>
                </w:p>
              </w:tc>
              <w:tc>
                <w:tcPr>
                  <w:tcW w:w="260" w:type="pct"/>
                  <w:noWrap w:val="0"/>
                  <w:vAlign w:val="center"/>
                </w:tcPr>
                <w:p w14:paraId="162EFD6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55.9</w:t>
                  </w:r>
                </w:p>
              </w:tc>
              <w:tc>
                <w:tcPr>
                  <w:tcW w:w="202" w:type="pct"/>
                  <w:noWrap w:val="0"/>
                  <w:vAlign w:val="center"/>
                </w:tcPr>
                <w:p w14:paraId="79A2D42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2ECF33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1BFAF1C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35.9</w:t>
                  </w:r>
                </w:p>
              </w:tc>
              <w:tc>
                <w:tcPr>
                  <w:tcW w:w="390" w:type="pct"/>
                  <w:noWrap w:val="0"/>
                  <w:vAlign w:val="center"/>
                </w:tcPr>
                <w:p w14:paraId="37DF765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1m</w:t>
                  </w:r>
                </w:p>
              </w:tc>
            </w:tr>
            <w:tr w14:paraId="403D03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 w:type="pct"/>
                  <w:noWrap w:val="0"/>
                  <w:vAlign w:val="center"/>
                </w:tcPr>
                <w:p w14:paraId="59AD31C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293" w:type="pct"/>
                  <w:vMerge w:val="continue"/>
                  <w:noWrap w:val="0"/>
                  <w:vAlign w:val="center"/>
                </w:tcPr>
                <w:p w14:paraId="21F33A2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710" w:type="pct"/>
                  <w:noWrap w:val="0"/>
                  <w:vAlign w:val="center"/>
                </w:tcPr>
                <w:p w14:paraId="0F88C4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整平机</w:t>
                  </w:r>
                </w:p>
              </w:tc>
              <w:tc>
                <w:tcPr>
                  <w:tcW w:w="259" w:type="pct"/>
                  <w:noWrap w:val="0"/>
                  <w:vAlign w:val="center"/>
                </w:tcPr>
                <w:p w14:paraId="3EB9D7F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定制</w:t>
                  </w:r>
                </w:p>
              </w:tc>
              <w:tc>
                <w:tcPr>
                  <w:tcW w:w="199" w:type="pct"/>
                  <w:noWrap w:val="0"/>
                  <w:vAlign w:val="center"/>
                </w:tcPr>
                <w:p w14:paraId="6FD5DF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w:t>
                  </w:r>
                </w:p>
              </w:tc>
              <w:tc>
                <w:tcPr>
                  <w:tcW w:w="467" w:type="pct"/>
                  <w:noWrap w:val="0"/>
                  <w:vAlign w:val="center"/>
                </w:tcPr>
                <w:p w14:paraId="2FBE9E7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80</w:t>
                  </w:r>
                </w:p>
              </w:tc>
              <w:tc>
                <w:tcPr>
                  <w:tcW w:w="402" w:type="pct"/>
                  <w:vMerge w:val="continue"/>
                  <w:noWrap w:val="0"/>
                  <w:vAlign w:val="center"/>
                </w:tcPr>
                <w:p w14:paraId="1B30B9B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10" w:type="pct"/>
                  <w:noWrap w:val="0"/>
                  <w:vAlign w:val="center"/>
                </w:tcPr>
                <w:p w14:paraId="10C2492D">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27</w:t>
                  </w:r>
                </w:p>
              </w:tc>
              <w:tc>
                <w:tcPr>
                  <w:tcW w:w="210" w:type="pct"/>
                  <w:noWrap w:val="0"/>
                  <w:vAlign w:val="center"/>
                </w:tcPr>
                <w:p w14:paraId="224449D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c>
                <w:tcPr>
                  <w:tcW w:w="200" w:type="pct"/>
                  <w:noWrap w:val="0"/>
                  <w:vAlign w:val="center"/>
                </w:tcPr>
                <w:p w14:paraId="2FAD4F9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298" w:type="pct"/>
                  <w:noWrap w:val="0"/>
                  <w:vAlign w:val="center"/>
                </w:tcPr>
                <w:p w14:paraId="52410E5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w:t>
                  </w:r>
                </w:p>
              </w:tc>
              <w:tc>
                <w:tcPr>
                  <w:tcW w:w="260" w:type="pct"/>
                  <w:noWrap w:val="0"/>
                  <w:vAlign w:val="center"/>
                </w:tcPr>
                <w:p w14:paraId="7FD8090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65.7</w:t>
                  </w:r>
                </w:p>
              </w:tc>
              <w:tc>
                <w:tcPr>
                  <w:tcW w:w="202" w:type="pct"/>
                  <w:noWrap w:val="0"/>
                  <w:vAlign w:val="center"/>
                </w:tcPr>
                <w:p w14:paraId="562F560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362" w:type="pct"/>
                  <w:noWrap w:val="0"/>
                  <w:vAlign w:val="center"/>
                </w:tcPr>
                <w:p w14:paraId="185DEF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135CB5D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45.7</w:t>
                  </w:r>
                </w:p>
              </w:tc>
              <w:tc>
                <w:tcPr>
                  <w:tcW w:w="390" w:type="pct"/>
                  <w:noWrap w:val="0"/>
                  <w:vAlign w:val="center"/>
                </w:tcPr>
                <w:p w14:paraId="25499B5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1m</w:t>
                  </w:r>
                </w:p>
              </w:tc>
            </w:tr>
            <w:tr w14:paraId="721BDF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noWrap w:val="0"/>
                  <w:vAlign w:val="center"/>
                </w:tcPr>
                <w:p w14:paraId="555CCE7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p>
              </w:tc>
              <w:tc>
                <w:tcPr>
                  <w:tcW w:w="293" w:type="pct"/>
                  <w:vMerge w:val="continue"/>
                  <w:noWrap w:val="0"/>
                  <w:vAlign w:val="center"/>
                </w:tcPr>
                <w:p w14:paraId="14A1472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0" w:type="auto"/>
                  <w:noWrap w:val="0"/>
                  <w:vAlign w:val="center"/>
                </w:tcPr>
                <w:p w14:paraId="5C15B8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2"/>
                      <w:sz w:val="20"/>
                      <w:szCs w:val="20"/>
                      <w:u w:val="none"/>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烘箱</w:t>
                  </w:r>
                </w:p>
              </w:tc>
              <w:tc>
                <w:tcPr>
                  <w:tcW w:w="259" w:type="pct"/>
                  <w:noWrap w:val="0"/>
                  <w:vAlign w:val="center"/>
                </w:tcPr>
                <w:p w14:paraId="7C9FCA8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定制</w:t>
                  </w:r>
                </w:p>
              </w:tc>
              <w:tc>
                <w:tcPr>
                  <w:tcW w:w="199" w:type="pct"/>
                  <w:noWrap w:val="0"/>
                  <w:vAlign w:val="center"/>
                </w:tcPr>
                <w:p w14:paraId="64692E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467" w:type="pct"/>
                  <w:noWrap w:val="0"/>
                  <w:vAlign w:val="center"/>
                </w:tcPr>
                <w:p w14:paraId="2CB096C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02" w:type="pct"/>
                  <w:vMerge w:val="continue"/>
                  <w:noWrap w:val="0"/>
                  <w:vAlign w:val="center"/>
                </w:tcPr>
                <w:p w14:paraId="2FDD83B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0" w:type="auto"/>
                  <w:noWrap w:val="0"/>
                  <w:vAlign w:val="center"/>
                </w:tcPr>
                <w:p w14:paraId="3E4ACE30">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w:t>
                  </w:r>
                </w:p>
              </w:tc>
              <w:tc>
                <w:tcPr>
                  <w:tcW w:w="0" w:type="auto"/>
                  <w:noWrap w:val="0"/>
                  <w:vAlign w:val="center"/>
                </w:tcPr>
                <w:p w14:paraId="31571202">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c>
                <w:tcPr>
                  <w:tcW w:w="0" w:type="auto"/>
                  <w:noWrap w:val="0"/>
                  <w:vAlign w:val="center"/>
                </w:tcPr>
                <w:p w14:paraId="5B64F46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0" w:type="auto"/>
                  <w:noWrap w:val="0"/>
                  <w:vAlign w:val="center"/>
                </w:tcPr>
                <w:p w14:paraId="0333DE1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w:t>
                  </w:r>
                </w:p>
              </w:tc>
              <w:tc>
                <w:tcPr>
                  <w:tcW w:w="0" w:type="auto"/>
                  <w:noWrap w:val="0"/>
                  <w:vAlign w:val="center"/>
                </w:tcPr>
                <w:p w14:paraId="360EF71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55.9</w:t>
                  </w:r>
                </w:p>
              </w:tc>
              <w:tc>
                <w:tcPr>
                  <w:tcW w:w="0" w:type="auto"/>
                  <w:noWrap w:val="0"/>
                  <w:vAlign w:val="center"/>
                </w:tcPr>
                <w:p w14:paraId="0FA534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0" w:type="auto"/>
                  <w:noWrap w:val="0"/>
                  <w:vAlign w:val="center"/>
                </w:tcPr>
                <w:p w14:paraId="79FB07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noWrap w:val="0"/>
                  <w:vAlign w:val="center"/>
                </w:tcPr>
                <w:p w14:paraId="3235749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35.9</w:t>
                  </w:r>
                </w:p>
              </w:tc>
              <w:tc>
                <w:tcPr>
                  <w:tcW w:w="390" w:type="pct"/>
                  <w:noWrap w:val="0"/>
                  <w:vAlign w:val="center"/>
                </w:tcPr>
                <w:p w14:paraId="623FB2A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1m</w:t>
                  </w:r>
                </w:p>
              </w:tc>
            </w:tr>
            <w:tr w14:paraId="053F18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noWrap w:val="0"/>
                  <w:vAlign w:val="center"/>
                </w:tcPr>
                <w:p w14:paraId="3C4489C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293" w:type="pct"/>
                  <w:vMerge w:val="continue"/>
                  <w:noWrap w:val="0"/>
                  <w:vAlign w:val="center"/>
                </w:tcPr>
                <w:p w14:paraId="7644902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tc>
              <w:tc>
                <w:tcPr>
                  <w:tcW w:w="0" w:type="auto"/>
                  <w:noWrap w:val="0"/>
                  <w:vAlign w:val="center"/>
                </w:tcPr>
                <w:p w14:paraId="4D4B08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20"/>
                      <w:szCs w:val="20"/>
                      <w:u w:val="none"/>
                      <w:lang w:val="en-US" w:eastAsia="zh-CN" w:bidi="ar"/>
                    </w:rPr>
                  </w:pPr>
                  <w:r>
                    <w:rPr>
                      <w:rFonts w:hint="eastAsia" w:cs="Times New Roman"/>
                      <w:i w:val="0"/>
                      <w:iCs w:val="0"/>
                      <w:color w:val="auto"/>
                      <w:kern w:val="0"/>
                      <w:sz w:val="20"/>
                      <w:szCs w:val="20"/>
                      <w:u w:val="none"/>
                      <w:lang w:val="en-US" w:eastAsia="zh-CN" w:bidi="ar"/>
                    </w:rPr>
                    <w:t>冷却水箱</w:t>
                  </w:r>
                </w:p>
              </w:tc>
              <w:tc>
                <w:tcPr>
                  <w:tcW w:w="259" w:type="pct"/>
                  <w:noWrap w:val="0"/>
                  <w:vAlign w:val="center"/>
                </w:tcPr>
                <w:p w14:paraId="351E20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99" w:type="pct"/>
                  <w:noWrap w:val="0"/>
                  <w:vAlign w:val="center"/>
                </w:tcPr>
                <w:p w14:paraId="7AE1CA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w:t>
                  </w:r>
                </w:p>
              </w:tc>
              <w:tc>
                <w:tcPr>
                  <w:tcW w:w="467" w:type="pct"/>
                  <w:noWrap w:val="0"/>
                  <w:vAlign w:val="center"/>
                </w:tcPr>
                <w:p w14:paraId="1F4F982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75</w:t>
                  </w:r>
                </w:p>
              </w:tc>
              <w:tc>
                <w:tcPr>
                  <w:tcW w:w="402" w:type="pct"/>
                  <w:vMerge w:val="continue"/>
                  <w:noWrap w:val="0"/>
                  <w:vAlign w:val="center"/>
                </w:tcPr>
                <w:p w14:paraId="4299DAF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0" w:type="auto"/>
                  <w:noWrap w:val="0"/>
                  <w:vAlign w:val="center"/>
                </w:tcPr>
                <w:p w14:paraId="76DF0DC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0" w:type="auto"/>
                  <w:noWrap w:val="0"/>
                  <w:vAlign w:val="center"/>
                </w:tcPr>
                <w:p w14:paraId="006B4288">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default" w:cs="Times New Roman"/>
                      <w:color w:val="auto"/>
                      <w:sz w:val="21"/>
                      <w:szCs w:val="21"/>
                      <w:lang w:val="en-US" w:eastAsia="zh-CN"/>
                    </w:rPr>
                  </w:pPr>
                  <w:r>
                    <w:rPr>
                      <w:rFonts w:hint="eastAsia" w:cs="Times New Roman"/>
                      <w:color w:val="auto"/>
                      <w:sz w:val="21"/>
                      <w:szCs w:val="21"/>
                      <w:lang w:val="en-US" w:eastAsia="zh-CN"/>
                    </w:rPr>
                    <w:t>15</w:t>
                  </w:r>
                </w:p>
              </w:tc>
              <w:tc>
                <w:tcPr>
                  <w:tcW w:w="0" w:type="auto"/>
                  <w:noWrap w:val="0"/>
                  <w:vAlign w:val="center"/>
                </w:tcPr>
                <w:p w14:paraId="475738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0" w:type="auto"/>
                  <w:noWrap w:val="0"/>
                  <w:vAlign w:val="center"/>
                </w:tcPr>
                <w:p w14:paraId="37BD710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9</w:t>
                  </w:r>
                </w:p>
              </w:tc>
              <w:tc>
                <w:tcPr>
                  <w:tcW w:w="0" w:type="auto"/>
                  <w:shd w:val="clear" w:color="auto" w:fill="auto"/>
                  <w:noWrap w:val="0"/>
                  <w:vAlign w:val="center"/>
                </w:tcPr>
                <w:p w14:paraId="756A151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bottom"/>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61.9</w:t>
                  </w:r>
                </w:p>
              </w:tc>
              <w:tc>
                <w:tcPr>
                  <w:tcW w:w="0" w:type="auto"/>
                  <w:shd w:val="clear" w:color="auto" w:fill="auto"/>
                  <w:noWrap w:val="0"/>
                  <w:vAlign w:val="center"/>
                </w:tcPr>
                <w:p w14:paraId="3EEB929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h</w:t>
                  </w:r>
                </w:p>
              </w:tc>
              <w:tc>
                <w:tcPr>
                  <w:tcW w:w="0" w:type="auto"/>
                  <w:shd w:val="clear" w:color="auto" w:fill="auto"/>
                  <w:noWrap w:val="0"/>
                  <w:vAlign w:val="center"/>
                </w:tcPr>
                <w:p w14:paraId="1AC98E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0</w:t>
                  </w:r>
                  <w:r>
                    <w:rPr>
                      <w:rFonts w:hint="default" w:ascii="Times New Roman" w:hAnsi="Times New Roman" w:eastAsia="宋体" w:cs="Times New Roman"/>
                      <w:color w:val="auto"/>
                      <w:sz w:val="21"/>
                      <w:szCs w:val="21"/>
                      <w:lang w:val="en-US" w:eastAsia="zh-CN"/>
                    </w:rPr>
                    <w:t>.0</w:t>
                  </w:r>
                </w:p>
              </w:tc>
              <w:tc>
                <w:tcPr>
                  <w:tcW w:w="362" w:type="pct"/>
                  <w:shd w:val="clear" w:color="auto" w:fill="auto"/>
                  <w:noWrap w:val="0"/>
                  <w:vAlign w:val="center"/>
                </w:tcPr>
                <w:p w14:paraId="746E8EF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41</w:t>
                  </w:r>
                  <w:r>
                    <w:rPr>
                      <w:rFonts w:hint="default" w:ascii="Times New Roman" w:hAnsi="Times New Roman" w:eastAsia="宋体" w:cs="Times New Roman"/>
                      <w:i w:val="0"/>
                      <w:iCs w:val="0"/>
                      <w:color w:val="auto"/>
                      <w:kern w:val="0"/>
                      <w:sz w:val="21"/>
                      <w:szCs w:val="21"/>
                      <w:u w:val="none"/>
                      <w:lang w:val="en-US" w:eastAsia="zh-CN" w:bidi="ar"/>
                    </w:rPr>
                    <w:t>.9</w:t>
                  </w:r>
                </w:p>
              </w:tc>
              <w:tc>
                <w:tcPr>
                  <w:tcW w:w="390" w:type="pct"/>
                  <w:shd w:val="clear" w:color="auto" w:fill="auto"/>
                  <w:noWrap w:val="0"/>
                  <w:vAlign w:val="center"/>
                </w:tcPr>
                <w:p w14:paraId="3106BD4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1m</w:t>
                  </w:r>
                </w:p>
              </w:tc>
            </w:tr>
          </w:tbl>
          <w:p w14:paraId="79B7F6CB">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表4.3-2  本项目主要噪声源强一览表（室外声源）</w:t>
            </w:r>
          </w:p>
          <w:tbl>
            <w:tblPr>
              <w:tblStyle w:val="44"/>
              <w:tblW w:w="4998" w:type="pct"/>
              <w:jc w:val="center"/>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38"/>
              <w:gridCol w:w="1728"/>
              <w:gridCol w:w="1127"/>
              <w:gridCol w:w="1440"/>
              <w:gridCol w:w="1440"/>
              <w:gridCol w:w="1455"/>
              <w:gridCol w:w="2359"/>
              <w:gridCol w:w="2436"/>
              <w:gridCol w:w="2387"/>
            </w:tblGrid>
            <w:tr w14:paraId="639A4FF0">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6" w:type="pct"/>
                  <w:vMerge w:val="restart"/>
                  <w:tcBorders>
                    <w:tl2br w:val="nil"/>
                    <w:tr2bl w:val="nil"/>
                  </w:tcBorders>
                  <w:noWrap w:val="0"/>
                  <w:vAlign w:val="center"/>
                </w:tcPr>
                <w:p w14:paraId="6DA8A73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rPr>
                    <w:t>序号</w:t>
                  </w:r>
                </w:p>
              </w:tc>
              <w:tc>
                <w:tcPr>
                  <w:tcW w:w="564" w:type="pct"/>
                  <w:vMerge w:val="restart"/>
                  <w:tcBorders>
                    <w:tl2br w:val="nil"/>
                    <w:tr2bl w:val="nil"/>
                  </w:tcBorders>
                  <w:noWrap w:val="0"/>
                  <w:vAlign w:val="center"/>
                </w:tcPr>
                <w:p w14:paraId="691098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lang w:val="en-US" w:eastAsia="zh-CN"/>
                    </w:rPr>
                    <w:t>声源名称</w:t>
                  </w:r>
                </w:p>
              </w:tc>
              <w:tc>
                <w:tcPr>
                  <w:tcW w:w="368" w:type="pct"/>
                  <w:vMerge w:val="restart"/>
                  <w:tcBorders>
                    <w:tl2br w:val="nil"/>
                    <w:tr2bl w:val="nil"/>
                  </w:tcBorders>
                  <w:noWrap w:val="0"/>
                  <w:vAlign w:val="center"/>
                </w:tcPr>
                <w:p w14:paraId="158B44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数量</w:t>
                  </w:r>
                </w:p>
              </w:tc>
              <w:tc>
                <w:tcPr>
                  <w:tcW w:w="1415" w:type="pct"/>
                  <w:gridSpan w:val="3"/>
                  <w:tcBorders>
                    <w:tl2br w:val="nil"/>
                    <w:tr2bl w:val="nil"/>
                  </w:tcBorders>
                  <w:noWrap w:val="0"/>
                  <w:vAlign w:val="center"/>
                </w:tcPr>
                <w:p w14:paraId="473D2F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空间相对位置/m</w:t>
                  </w:r>
                </w:p>
              </w:tc>
              <w:tc>
                <w:tcPr>
                  <w:tcW w:w="770" w:type="pct"/>
                  <w:vMerge w:val="restart"/>
                  <w:tcBorders>
                    <w:tl2br w:val="nil"/>
                    <w:tr2bl w:val="nil"/>
                  </w:tcBorders>
                  <w:noWrap w:val="0"/>
                  <w:vAlign w:val="center"/>
                </w:tcPr>
                <w:p w14:paraId="010720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单台声功率级dB（A）</w:t>
                  </w:r>
                </w:p>
              </w:tc>
              <w:tc>
                <w:tcPr>
                  <w:tcW w:w="795" w:type="pct"/>
                  <w:vMerge w:val="restart"/>
                  <w:tcBorders>
                    <w:tl2br w:val="nil"/>
                    <w:tr2bl w:val="nil"/>
                  </w:tcBorders>
                  <w:noWrap w:val="0"/>
                  <w:vAlign w:val="center"/>
                </w:tcPr>
                <w:p w14:paraId="6DA9D9B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声源控制</w:t>
                  </w:r>
                </w:p>
                <w:p w14:paraId="24F6A7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措施</w:t>
                  </w:r>
                </w:p>
              </w:tc>
              <w:tc>
                <w:tcPr>
                  <w:tcW w:w="779" w:type="pct"/>
                  <w:vMerge w:val="restart"/>
                  <w:tcBorders>
                    <w:tl2br w:val="nil"/>
                    <w:tr2bl w:val="nil"/>
                  </w:tcBorders>
                  <w:noWrap w:val="0"/>
                  <w:vAlign w:val="center"/>
                </w:tcPr>
                <w:p w14:paraId="3D1A40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运行时段</w:t>
                  </w:r>
                </w:p>
              </w:tc>
            </w:tr>
            <w:tr w14:paraId="4F3EB415">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6" w:type="pct"/>
                  <w:vMerge w:val="continue"/>
                  <w:tcBorders>
                    <w:tl2br w:val="nil"/>
                    <w:tr2bl w:val="nil"/>
                  </w:tcBorders>
                  <w:noWrap w:val="0"/>
                  <w:vAlign w:val="center"/>
                </w:tcPr>
                <w:p w14:paraId="07C06CB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rPr>
                  </w:pPr>
                </w:p>
              </w:tc>
              <w:tc>
                <w:tcPr>
                  <w:tcW w:w="564" w:type="pct"/>
                  <w:vMerge w:val="continue"/>
                  <w:tcBorders>
                    <w:tl2br w:val="nil"/>
                    <w:tr2bl w:val="nil"/>
                  </w:tcBorders>
                  <w:noWrap w:val="0"/>
                  <w:vAlign w:val="center"/>
                </w:tcPr>
                <w:p w14:paraId="2C4806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rPr>
                  </w:pPr>
                </w:p>
              </w:tc>
              <w:tc>
                <w:tcPr>
                  <w:tcW w:w="368" w:type="pct"/>
                  <w:vMerge w:val="continue"/>
                  <w:tcBorders>
                    <w:tl2br w:val="nil"/>
                    <w:tr2bl w:val="nil"/>
                  </w:tcBorders>
                  <w:noWrap w:val="0"/>
                  <w:vAlign w:val="center"/>
                </w:tcPr>
                <w:p w14:paraId="68B10D4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p>
              </w:tc>
              <w:tc>
                <w:tcPr>
                  <w:tcW w:w="470" w:type="pct"/>
                  <w:tcBorders>
                    <w:tl2br w:val="nil"/>
                    <w:tr2bl w:val="nil"/>
                  </w:tcBorders>
                  <w:noWrap w:val="0"/>
                  <w:vAlign w:val="center"/>
                </w:tcPr>
                <w:p w14:paraId="3910D78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X</w:t>
                  </w:r>
                </w:p>
              </w:tc>
              <w:tc>
                <w:tcPr>
                  <w:tcW w:w="470" w:type="pct"/>
                  <w:tcBorders>
                    <w:tl2br w:val="nil"/>
                    <w:tr2bl w:val="nil"/>
                  </w:tcBorders>
                  <w:noWrap w:val="0"/>
                  <w:vAlign w:val="center"/>
                </w:tcPr>
                <w:p w14:paraId="7FB3AD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Y</w:t>
                  </w:r>
                </w:p>
              </w:tc>
              <w:tc>
                <w:tcPr>
                  <w:tcW w:w="475" w:type="pct"/>
                  <w:tcBorders>
                    <w:tl2br w:val="nil"/>
                    <w:tr2bl w:val="nil"/>
                  </w:tcBorders>
                  <w:noWrap w:val="0"/>
                  <w:vAlign w:val="center"/>
                </w:tcPr>
                <w:p w14:paraId="18DAE5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Z</w:t>
                  </w:r>
                </w:p>
              </w:tc>
              <w:tc>
                <w:tcPr>
                  <w:tcW w:w="770" w:type="pct"/>
                  <w:vMerge w:val="continue"/>
                  <w:tcBorders>
                    <w:tl2br w:val="nil"/>
                    <w:tr2bl w:val="nil"/>
                  </w:tcBorders>
                  <w:noWrap w:val="0"/>
                  <w:vAlign w:val="center"/>
                </w:tcPr>
                <w:p w14:paraId="53BFEEC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p>
              </w:tc>
              <w:tc>
                <w:tcPr>
                  <w:tcW w:w="795" w:type="pct"/>
                  <w:vMerge w:val="continue"/>
                  <w:tcBorders>
                    <w:tl2br w:val="nil"/>
                    <w:tr2bl w:val="nil"/>
                  </w:tcBorders>
                  <w:noWrap w:val="0"/>
                  <w:vAlign w:val="center"/>
                </w:tcPr>
                <w:p w14:paraId="72E9016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p>
              </w:tc>
              <w:tc>
                <w:tcPr>
                  <w:tcW w:w="779" w:type="pct"/>
                  <w:vMerge w:val="continue"/>
                  <w:tcBorders>
                    <w:tl2br w:val="nil"/>
                    <w:tr2bl w:val="nil"/>
                  </w:tcBorders>
                  <w:noWrap w:val="0"/>
                  <w:vAlign w:val="center"/>
                </w:tcPr>
                <w:p w14:paraId="4FB67A9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lang w:val="en-US" w:eastAsia="zh-CN"/>
                    </w:rPr>
                  </w:pPr>
                </w:p>
              </w:tc>
            </w:tr>
            <w:tr w14:paraId="5FB774F6">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6" w:type="pct"/>
                  <w:tcBorders>
                    <w:tl2br w:val="nil"/>
                    <w:tr2bl w:val="nil"/>
                  </w:tcBorders>
                  <w:noWrap w:val="0"/>
                  <w:vAlign w:val="center"/>
                </w:tcPr>
                <w:p w14:paraId="72D045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564" w:type="pct"/>
                  <w:tcBorders>
                    <w:tl2br w:val="nil"/>
                    <w:tr2bl w:val="nil"/>
                  </w:tcBorders>
                  <w:noWrap w:val="0"/>
                  <w:vAlign w:val="center"/>
                </w:tcPr>
                <w:p w14:paraId="2316CD3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lang w:val="en-US" w:eastAsia="zh-CN"/>
                    </w:rPr>
                    <w:t>风机</w:t>
                  </w:r>
                </w:p>
              </w:tc>
              <w:tc>
                <w:tcPr>
                  <w:tcW w:w="368" w:type="pct"/>
                  <w:tcBorders>
                    <w:tl2br w:val="nil"/>
                    <w:tr2bl w:val="nil"/>
                  </w:tcBorders>
                  <w:noWrap w:val="0"/>
                  <w:vAlign w:val="center"/>
                </w:tcPr>
                <w:p w14:paraId="0EC8D4D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lang w:val="en-US" w:eastAsia="zh-CN"/>
                    </w:rPr>
                    <w:t>1</w:t>
                  </w:r>
                </w:p>
              </w:tc>
              <w:tc>
                <w:tcPr>
                  <w:tcW w:w="470" w:type="pct"/>
                  <w:tcBorders>
                    <w:tl2br w:val="nil"/>
                    <w:tr2bl w:val="nil"/>
                  </w:tcBorders>
                  <w:noWrap w:val="0"/>
                  <w:vAlign w:val="center"/>
                </w:tcPr>
                <w:p w14:paraId="30AF24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45</w:t>
                  </w:r>
                </w:p>
              </w:tc>
              <w:tc>
                <w:tcPr>
                  <w:tcW w:w="470" w:type="pct"/>
                  <w:tcBorders>
                    <w:tl2br w:val="nil"/>
                    <w:tr2bl w:val="nil"/>
                  </w:tcBorders>
                  <w:noWrap w:val="0"/>
                  <w:vAlign w:val="center"/>
                </w:tcPr>
                <w:p w14:paraId="6EC9FA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w:t>
                  </w:r>
                </w:p>
              </w:tc>
              <w:tc>
                <w:tcPr>
                  <w:tcW w:w="475" w:type="pct"/>
                  <w:tcBorders>
                    <w:tl2br w:val="nil"/>
                    <w:tr2bl w:val="nil"/>
                  </w:tcBorders>
                  <w:noWrap w:val="0"/>
                  <w:vAlign w:val="center"/>
                </w:tcPr>
                <w:p w14:paraId="1DAD89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1</w:t>
                  </w:r>
                </w:p>
              </w:tc>
              <w:tc>
                <w:tcPr>
                  <w:tcW w:w="770" w:type="pct"/>
                  <w:tcBorders>
                    <w:tl2br w:val="nil"/>
                    <w:tr2bl w:val="nil"/>
                  </w:tcBorders>
                  <w:noWrap w:val="0"/>
                  <w:vAlign w:val="center"/>
                </w:tcPr>
                <w:p w14:paraId="1C83E1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Cs w:val="21"/>
                      <w:lang w:val="en-US" w:eastAsia="zh-CN"/>
                    </w:rPr>
                    <w:t>85</w:t>
                  </w:r>
                </w:p>
              </w:tc>
              <w:tc>
                <w:tcPr>
                  <w:tcW w:w="795" w:type="pct"/>
                  <w:tcBorders>
                    <w:tl2br w:val="nil"/>
                    <w:tr2bl w:val="nil"/>
                  </w:tcBorders>
                  <w:noWrap w:val="0"/>
                  <w:vAlign w:val="center"/>
                </w:tcPr>
                <w:p w14:paraId="22704AB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highlight w:val="none"/>
                      <w:lang w:val="en-US" w:eastAsia="zh-CN"/>
                    </w:rPr>
                    <w:t>减振措施、距离衰减</w:t>
                  </w:r>
                </w:p>
              </w:tc>
              <w:tc>
                <w:tcPr>
                  <w:tcW w:w="779" w:type="pct"/>
                  <w:tcBorders>
                    <w:tl2br w:val="nil"/>
                    <w:tr2bl w:val="nil"/>
                  </w:tcBorders>
                  <w:noWrap w:val="0"/>
                  <w:vAlign w:val="center"/>
                </w:tcPr>
                <w:p w14:paraId="0FEC57D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工作时</w:t>
                  </w:r>
                </w:p>
              </w:tc>
            </w:tr>
            <w:tr w14:paraId="6C7675BD">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6" w:type="pct"/>
                  <w:tcBorders>
                    <w:tl2br w:val="nil"/>
                    <w:tr2bl w:val="nil"/>
                  </w:tcBorders>
                  <w:noWrap w:val="0"/>
                  <w:vAlign w:val="center"/>
                </w:tcPr>
                <w:p w14:paraId="78A3E62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lang w:val="en-US" w:eastAsia="zh-CN"/>
                    </w:rPr>
                  </w:pPr>
                  <w:r>
                    <w:rPr>
                      <w:rFonts w:hint="eastAsia" w:cs="Times New Roman"/>
                      <w:color w:val="auto"/>
                      <w:lang w:val="en-US" w:eastAsia="zh-CN"/>
                    </w:rPr>
                    <w:t>2</w:t>
                  </w:r>
                </w:p>
              </w:tc>
              <w:tc>
                <w:tcPr>
                  <w:tcW w:w="564" w:type="pct"/>
                  <w:tcBorders>
                    <w:tl2br w:val="nil"/>
                    <w:tr2bl w:val="nil"/>
                  </w:tcBorders>
                  <w:noWrap w:val="0"/>
                  <w:vAlign w:val="center"/>
                </w:tcPr>
                <w:p w14:paraId="4071A1D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空压机</w:t>
                  </w:r>
                </w:p>
              </w:tc>
              <w:tc>
                <w:tcPr>
                  <w:tcW w:w="368" w:type="pct"/>
                  <w:tcBorders>
                    <w:tl2br w:val="nil"/>
                    <w:tr2bl w:val="nil"/>
                  </w:tcBorders>
                  <w:noWrap w:val="0"/>
                  <w:vAlign w:val="center"/>
                </w:tcPr>
                <w:p w14:paraId="71A00652">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470" w:type="pct"/>
                  <w:tcBorders>
                    <w:tl2br w:val="nil"/>
                    <w:tr2bl w:val="nil"/>
                  </w:tcBorders>
                  <w:noWrap w:val="0"/>
                  <w:vAlign w:val="center"/>
                </w:tcPr>
                <w:p w14:paraId="13733D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45</w:t>
                  </w:r>
                </w:p>
              </w:tc>
              <w:tc>
                <w:tcPr>
                  <w:tcW w:w="470" w:type="pct"/>
                  <w:tcBorders>
                    <w:tl2br w:val="nil"/>
                    <w:tr2bl w:val="nil"/>
                  </w:tcBorders>
                  <w:noWrap w:val="0"/>
                  <w:vAlign w:val="center"/>
                </w:tcPr>
                <w:p w14:paraId="29401DF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5</w:t>
                  </w:r>
                </w:p>
              </w:tc>
              <w:tc>
                <w:tcPr>
                  <w:tcW w:w="475" w:type="pct"/>
                  <w:tcBorders>
                    <w:tl2br w:val="nil"/>
                    <w:tr2bl w:val="nil"/>
                  </w:tcBorders>
                  <w:noWrap w:val="0"/>
                  <w:vAlign w:val="center"/>
                </w:tcPr>
                <w:p w14:paraId="21924C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w:t>
                  </w:r>
                </w:p>
              </w:tc>
              <w:tc>
                <w:tcPr>
                  <w:tcW w:w="770" w:type="pct"/>
                  <w:tcBorders>
                    <w:tl2br w:val="nil"/>
                    <w:tr2bl w:val="nil"/>
                  </w:tcBorders>
                  <w:noWrap w:val="0"/>
                  <w:vAlign w:val="center"/>
                </w:tcPr>
                <w:p w14:paraId="3AF01EE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85</w:t>
                  </w:r>
                </w:p>
              </w:tc>
              <w:tc>
                <w:tcPr>
                  <w:tcW w:w="795" w:type="pct"/>
                  <w:tcBorders>
                    <w:tl2br w:val="nil"/>
                    <w:tr2bl w:val="nil"/>
                  </w:tcBorders>
                  <w:shd w:val="clear" w:color="auto" w:fill="auto"/>
                  <w:noWrap w:val="0"/>
                  <w:vAlign w:val="center"/>
                </w:tcPr>
                <w:p w14:paraId="3F8ABB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减振措施、距离衰减</w:t>
                  </w:r>
                </w:p>
              </w:tc>
              <w:tc>
                <w:tcPr>
                  <w:tcW w:w="779" w:type="pct"/>
                  <w:tcBorders>
                    <w:tl2br w:val="nil"/>
                    <w:tr2bl w:val="nil"/>
                  </w:tcBorders>
                  <w:shd w:val="clear" w:color="auto" w:fill="auto"/>
                  <w:noWrap w:val="0"/>
                  <w:vAlign w:val="center"/>
                </w:tcPr>
                <w:p w14:paraId="5A65B0E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工作时</w:t>
                  </w:r>
                </w:p>
              </w:tc>
            </w:tr>
          </w:tbl>
          <w:p w14:paraId="523EEAD3">
            <w:pPr>
              <w:pStyle w:val="2"/>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b/>
                <w:color w:val="auto"/>
                <w:sz w:val="21"/>
                <w:szCs w:val="21"/>
              </w:rPr>
              <w:t>备注：</w:t>
            </w:r>
            <w:r>
              <w:rPr>
                <w:rFonts w:hint="default" w:ascii="Times New Roman" w:hAnsi="Times New Roman" w:eastAsia="宋体" w:cs="Times New Roman"/>
                <w:b/>
                <w:color w:val="auto"/>
                <w:sz w:val="21"/>
                <w:szCs w:val="21"/>
                <w:lang w:val="en-US" w:eastAsia="zh-CN"/>
              </w:rPr>
              <w:t>厂区</w:t>
            </w:r>
            <w:r>
              <w:rPr>
                <w:rFonts w:hint="default" w:ascii="Times New Roman" w:hAnsi="Times New Roman" w:eastAsia="宋体" w:cs="Times New Roman"/>
                <w:b/>
                <w:color w:val="auto"/>
                <w:sz w:val="21"/>
                <w:szCs w:val="21"/>
              </w:rPr>
              <w:t>西南角为原点。</w:t>
            </w:r>
          </w:p>
        </w:tc>
      </w:tr>
    </w:tbl>
    <w:p w14:paraId="73604337">
      <w:pPr>
        <w:ind w:firstLine="420"/>
        <w:rPr>
          <w:rFonts w:hint="default" w:ascii="Times New Roman" w:hAnsi="Times New Roman" w:eastAsia="宋体" w:cs="Times New Roman"/>
          <w:color w:val="auto"/>
        </w:rPr>
        <w:sectPr>
          <w:pgSz w:w="16840" w:h="11907" w:orient="landscape"/>
          <w:pgMar w:top="1080" w:right="1440" w:bottom="1080" w:left="1440" w:header="964" w:footer="964" w:gutter="0"/>
          <w:pgBorders w:offsetFrom="page">
            <w:top w:val="none" w:sz="0" w:space="0"/>
            <w:left w:val="none" w:sz="0" w:space="0"/>
            <w:bottom w:val="none" w:sz="0" w:space="0"/>
            <w:right w:val="none" w:sz="0" w:space="0"/>
          </w:pgBorders>
          <w:cols w:space="720" w:num="1"/>
          <w:docGrid w:type="linesAndChars" w:linePitch="312" w:charSpace="0"/>
        </w:sectPr>
      </w:pPr>
    </w:p>
    <w:tbl>
      <w:tblPr>
        <w:tblStyle w:val="44"/>
        <w:tblW w:w="1020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9789"/>
      </w:tblGrid>
      <w:tr w14:paraId="6A70B7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27" w:hRule="atLeast"/>
          <w:jc w:val="center"/>
        </w:trPr>
        <w:tc>
          <w:tcPr>
            <w:tcW w:w="427" w:type="dxa"/>
            <w:noWrap w:val="0"/>
            <w:vAlign w:val="center"/>
          </w:tcPr>
          <w:p w14:paraId="41C2B3BF">
            <w:pPr>
              <w:spacing w:line="240" w:lineRule="auto"/>
              <w:ind w:firstLine="0" w:firstLine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运营期环境影响和保护措施</w:t>
            </w:r>
          </w:p>
        </w:tc>
        <w:tc>
          <w:tcPr>
            <w:tcW w:w="10004" w:type="dxa"/>
            <w:noWrap w:val="0"/>
            <w:vAlign w:val="center"/>
          </w:tcPr>
          <w:p w14:paraId="323CF188">
            <w:pPr>
              <w:ind w:firstLine="0" w:firstLineChars="0"/>
              <w:rPr>
                <w:rFonts w:hint="default" w:ascii="Times New Roman" w:hAnsi="Times New Roman" w:eastAsia="宋体" w:cs="Times New Roman"/>
                <w:b/>
                <w:bCs/>
                <w:color w:val="auto"/>
                <w:sz w:val="24"/>
                <w:szCs w:val="24"/>
              </w:rPr>
            </w:pPr>
            <w:bookmarkStart w:id="13" w:name="_Hlk119929743"/>
            <w:r>
              <w:rPr>
                <w:rFonts w:hint="default" w:ascii="Times New Roman" w:hAnsi="Times New Roman" w:eastAsia="宋体" w:cs="Times New Roman"/>
                <w:b/>
                <w:bCs/>
                <w:color w:val="auto"/>
                <w:sz w:val="24"/>
                <w:szCs w:val="24"/>
              </w:rPr>
              <w:t>3.2噪声污染防治措施可行性分析</w:t>
            </w:r>
          </w:p>
          <w:p w14:paraId="16AC247D">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为了进一步减少项目产生的噪声对周围环境的影响，建议建设单位采取以下措施：</w:t>
            </w:r>
          </w:p>
          <w:p w14:paraId="3C0336A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①合理布局车间，高噪声设备尽量远离厂界，并合理利用厂区建筑物的隔声作用；</w:t>
            </w:r>
          </w:p>
          <w:p w14:paraId="1328559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②在满足生产工艺的前提下，尽量选用加工精度高、装配质量好、低噪声的设备，并在安装过程中采取隔声、减振措施；</w:t>
            </w:r>
          </w:p>
          <w:p w14:paraId="6C26682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③平时加强对设备的保养、检修与润滑，保证设备良好运转，减轻运行噪声强度；</w:t>
            </w:r>
          </w:p>
          <w:p w14:paraId="6837774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④对废气处理设备、冷却塔等设备设置隔声、减震措施。</w:t>
            </w:r>
          </w:p>
          <w:p w14:paraId="3ECEE55B">
            <w:pPr>
              <w:ind w:firstLine="420"/>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z w:val="24"/>
                <w:szCs w:val="24"/>
              </w:rPr>
              <w:t>以上噪声治理措施容易实施，技术成熟可靠，投资费用较少，在经济上是可行的。</w:t>
            </w:r>
          </w:p>
          <w:p w14:paraId="7342C26D">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3.3声环境影响预测与评价</w:t>
            </w:r>
          </w:p>
          <w:p w14:paraId="178E062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（1）主要噪声源与预测内容</w:t>
            </w:r>
          </w:p>
          <w:p w14:paraId="4A6CED3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主要噪声源：以生产、公辅设备为主，均以固定的点源形式分布在联合厂房内，运行噪声均在7</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85</w:t>
            </w:r>
            <w:r>
              <w:rPr>
                <w:rFonts w:hint="default" w:ascii="Times New Roman" w:hAnsi="Times New Roman" w:eastAsia="宋体" w:cs="Times New Roman"/>
                <w:color w:val="auto"/>
                <w:sz w:val="24"/>
                <w:szCs w:val="24"/>
              </w:rPr>
              <w:t>dB(A</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之间；</w:t>
            </w:r>
          </w:p>
          <w:p w14:paraId="4F3FD59C">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预测内容：厂界噪声贡献值。</w:t>
            </w:r>
          </w:p>
          <w:p w14:paraId="7B61457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（2）噪声预测模式</w:t>
            </w:r>
          </w:p>
          <w:p w14:paraId="6D2DC5F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当所有设备同时运转时，项目厂界噪声按照以下公式进行计算：</w:t>
            </w:r>
          </w:p>
          <w:p w14:paraId="4CE8B2F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A：室内声源靠近围护结构处产生的倍频带声压级：</w:t>
            </w:r>
          </w:p>
          <w:p w14:paraId="7D7283C8">
            <w:pPr>
              <w:spacing w:line="360" w:lineRule="auto"/>
              <w:ind w:firstLine="48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object>
                <v:shape id="_x0000_i1027" o:spt="75" type="#_x0000_t75" style="height:35.3pt;width:140.45pt;" o:ole="t" fillcolor="#ACA899" filled="f" o:preferrelative="t" stroked="f" coordsize="21600,21600">
                  <v:path/>
                  <v:fill on="f" focussize="0,0"/>
                  <v:stroke on="f"/>
                  <v:imagedata r:id="rId27" o:title=""/>
                  <o:lock v:ext="edit" grouping="f" rotation="f" text="f" aspectratio="t"/>
                  <w10:wrap type="none"/>
                  <w10:anchorlock/>
                </v:shape>
                <o:OLEObject Type="Embed" ProgID="Equation.3" ShapeID="_x0000_i1027" DrawAspect="Content" ObjectID="_1468075727" r:id="rId26">
                  <o:LockedField>false</o:LockedField>
                </o:OLEObject>
              </w:object>
            </w:r>
          </w:p>
          <w:p w14:paraId="7F851DAC">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式中：L</w:t>
            </w:r>
            <w:r>
              <w:rPr>
                <w:rFonts w:hint="default" w:ascii="Times New Roman" w:hAnsi="Times New Roman" w:eastAsia="宋体" w:cs="Times New Roman"/>
                <w:color w:val="auto"/>
                <w:sz w:val="24"/>
                <w:szCs w:val="24"/>
                <w:vertAlign w:val="subscript"/>
              </w:rPr>
              <w:t>pl</w:t>
            </w:r>
            <w:r>
              <w:rPr>
                <w:rFonts w:hint="default" w:ascii="Times New Roman" w:hAnsi="Times New Roman" w:eastAsia="宋体" w:cs="Times New Roman"/>
                <w:color w:val="auto"/>
                <w:sz w:val="24"/>
                <w:szCs w:val="24"/>
              </w:rPr>
              <w:t>——靠近围护结构处室内倍频带声压级，dB；</w:t>
            </w:r>
          </w:p>
          <w:p w14:paraId="2885812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eastAsia="宋体" w:cs="Times New Roman"/>
                <w:color w:val="auto"/>
                <w:sz w:val="24"/>
                <w:szCs w:val="24"/>
                <w:vertAlign w:val="subscript"/>
              </w:rPr>
              <w:t>W</w:t>
            </w:r>
            <w:r>
              <w:rPr>
                <w:rFonts w:hint="default" w:ascii="Times New Roman" w:hAnsi="Times New Roman" w:eastAsia="宋体" w:cs="Times New Roman"/>
                <w:color w:val="auto"/>
                <w:sz w:val="24"/>
                <w:szCs w:val="24"/>
              </w:rPr>
              <w:t>——声源功率级，dB；</w:t>
            </w:r>
          </w:p>
          <w:p w14:paraId="207147EC">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Q——声源之指向性系数，2；</w:t>
            </w:r>
          </w:p>
          <w:p w14:paraId="2480DA61">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R——房间常数，</w:t>
            </w:r>
            <w:r>
              <w:rPr>
                <w:rFonts w:hint="default" w:ascii="Times New Roman" w:hAnsi="Times New Roman" w:eastAsia="宋体" w:cs="Times New Roman"/>
                <w:color w:val="auto"/>
                <w:sz w:val="24"/>
                <w:szCs w:val="24"/>
              </w:rPr>
              <w:object>
                <v:shape id="_x0000_i1028" o:spt="75" type="#_x0000_t75" style="height:20.55pt;width:47.25pt;" o:ole="t" filled="f" o:preferrelative="t" stroked="f" coordsize="21600,21600">
                  <v:path/>
                  <v:fill on="f" focussize="0,0"/>
                  <v:stroke on="f"/>
                  <v:imagedata r:id="rId29" o:title=""/>
                  <o:lock v:ext="edit" aspectratio="t"/>
                  <w10:wrap type="none"/>
                  <w10:anchorlock/>
                </v:shape>
                <o:OLEObject Type="Embed" ProgID="Equation.3" ShapeID="_x0000_i1028" DrawAspect="Content" ObjectID="_1468075728" r:id="rId28">
                  <o:LockedField>false</o:LockedField>
                </o:OLEObject>
              </w:objec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rPr>
              <w:object>
                <v:shape id="_x0000_i1029" o:spt="75" type="#_x0000_t75" style="height:17.25pt;width:9.75pt;" o:ole="t" filled="f" o:preferrelative="t" stroked="f" coordsize="21600,21600">
                  <v:path/>
                  <v:fill on="f" focussize="0,0"/>
                  <v:stroke on="f"/>
                  <v:imagedata r:id="rId31" o:title=""/>
                  <o:lock v:ext="edit" grouping="f" rotation="f" text="f" aspectratio="t"/>
                  <w10:wrap type="none"/>
                  <w10:anchorlock/>
                </v:shape>
                <o:OLEObject Type="Embed" ProgID="Equation.DSMT4" ShapeID="_x0000_i1029" DrawAspect="Content" ObjectID="_1468075729" r:id="rId30">
                  <o:LockedField>false</o:LockedField>
                </o:OLEObject>
              </w:object>
            </w:r>
            <w:r>
              <w:rPr>
                <w:rFonts w:hint="default" w:ascii="Times New Roman" w:hAnsi="Times New Roman" w:eastAsia="宋体" w:cs="Times New Roman"/>
                <w:color w:val="auto"/>
                <w:sz w:val="24"/>
                <w:szCs w:val="24"/>
              </w:rPr>
              <w:t>取0.05（按照水泥墙进行取值）</w:t>
            </w:r>
          </w:p>
          <w:p w14:paraId="39CCDA9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B：室外围护结构处的声压级：</w:t>
            </w:r>
          </w:p>
          <w:p w14:paraId="19DD56E9">
            <w:pPr>
              <w:ind w:firstLine="480"/>
              <w:jc w:val="center"/>
              <w:rPr>
                <w:rFonts w:hint="default" w:ascii="Times New Roman" w:hAnsi="Times New Roman" w:eastAsia="宋体" w:cs="Times New Roman"/>
                <w:color w:val="auto"/>
                <w:sz w:val="24"/>
                <w:szCs w:val="24"/>
                <w:lang w:val="nb-NO"/>
              </w:rPr>
            </w:pPr>
            <w:r>
              <w:rPr>
                <w:rFonts w:hint="default" w:ascii="Times New Roman" w:hAnsi="Times New Roman" w:eastAsia="宋体" w:cs="Times New Roman"/>
                <w:color w:val="auto"/>
                <w:sz w:val="24"/>
                <w:szCs w:val="24"/>
                <w:lang w:val="nb-NO"/>
              </w:rPr>
              <w:t>L</w:t>
            </w:r>
            <w:r>
              <w:rPr>
                <w:rFonts w:hint="default" w:ascii="Times New Roman" w:hAnsi="Times New Roman" w:eastAsia="宋体" w:cs="Times New Roman"/>
                <w:color w:val="auto"/>
                <w:sz w:val="24"/>
                <w:szCs w:val="24"/>
                <w:vertAlign w:val="subscript"/>
                <w:lang w:val="nb-NO"/>
              </w:rPr>
              <w:t>p2i</w:t>
            </w:r>
            <w:r>
              <w:rPr>
                <w:rFonts w:hint="default" w:ascii="Times New Roman" w:hAnsi="Times New Roman" w:eastAsia="宋体" w:cs="Times New Roman"/>
                <w:color w:val="auto"/>
                <w:sz w:val="24"/>
                <w:szCs w:val="24"/>
                <w:lang w:val="nb-NO"/>
              </w:rPr>
              <w:t>(T)= L</w:t>
            </w:r>
            <w:r>
              <w:rPr>
                <w:rFonts w:hint="default" w:ascii="Times New Roman" w:hAnsi="Times New Roman" w:eastAsia="宋体" w:cs="Times New Roman"/>
                <w:color w:val="auto"/>
                <w:sz w:val="24"/>
                <w:szCs w:val="24"/>
                <w:vertAlign w:val="subscript"/>
                <w:lang w:val="nb-NO"/>
              </w:rPr>
              <w:t>p1i</w:t>
            </w:r>
            <w:r>
              <w:rPr>
                <w:rFonts w:hint="default" w:ascii="Times New Roman" w:hAnsi="Times New Roman" w:eastAsia="宋体" w:cs="Times New Roman"/>
                <w:color w:val="auto"/>
                <w:sz w:val="24"/>
                <w:szCs w:val="24"/>
                <w:lang w:val="nb-NO"/>
              </w:rPr>
              <w:t>(T)—</w:t>
            </w:r>
            <w:r>
              <w:rPr>
                <w:rFonts w:hint="default" w:ascii="Times New Roman" w:hAnsi="Times New Roman" w:eastAsia="宋体" w:cs="Times New Roman"/>
                <w:color w:val="auto"/>
                <w:sz w:val="24"/>
                <w:szCs w:val="24"/>
                <w:lang w:val="nb-NO" w:eastAsia="zh-CN"/>
              </w:rPr>
              <w:t>(</w:t>
            </w:r>
            <w:r>
              <w:rPr>
                <w:rFonts w:hint="default" w:ascii="Times New Roman" w:hAnsi="Times New Roman" w:eastAsia="宋体" w:cs="Times New Roman"/>
                <w:color w:val="auto"/>
                <w:sz w:val="24"/>
                <w:szCs w:val="24"/>
                <w:lang w:val="nb-NO"/>
              </w:rPr>
              <w:t>T</w:t>
            </w:r>
            <w:r>
              <w:rPr>
                <w:rFonts w:hint="default" w:ascii="Times New Roman" w:hAnsi="Times New Roman" w:eastAsia="宋体" w:cs="Times New Roman"/>
                <w:color w:val="auto"/>
                <w:sz w:val="24"/>
                <w:szCs w:val="24"/>
                <w:vertAlign w:val="subscript"/>
                <w:lang w:val="nb-NO"/>
              </w:rPr>
              <w:t>Li</w:t>
            </w:r>
            <w:r>
              <w:rPr>
                <w:rFonts w:hint="default" w:ascii="Times New Roman" w:hAnsi="Times New Roman" w:eastAsia="宋体" w:cs="Times New Roman"/>
                <w:color w:val="auto"/>
                <w:sz w:val="24"/>
                <w:szCs w:val="24"/>
                <w:lang w:val="nb-NO"/>
              </w:rPr>
              <w:t>+6</w:t>
            </w:r>
            <w:r>
              <w:rPr>
                <w:rFonts w:hint="default" w:ascii="Times New Roman" w:hAnsi="Times New Roman" w:eastAsia="宋体" w:cs="Times New Roman"/>
                <w:color w:val="auto"/>
                <w:sz w:val="24"/>
                <w:szCs w:val="24"/>
                <w:lang w:val="nb-NO" w:eastAsia="zh-CN"/>
              </w:rPr>
              <w:t>)</w:t>
            </w:r>
          </w:p>
          <w:p w14:paraId="753F25F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式中：L</w:t>
            </w:r>
            <w:r>
              <w:rPr>
                <w:rFonts w:hint="default" w:ascii="Times New Roman" w:hAnsi="Times New Roman" w:eastAsia="宋体" w:cs="Times New Roman"/>
                <w:color w:val="auto"/>
                <w:sz w:val="24"/>
                <w:szCs w:val="24"/>
                <w:vertAlign w:val="subscript"/>
              </w:rPr>
              <w:t>p2i</w:t>
            </w:r>
            <w:r>
              <w:rPr>
                <w:rFonts w:hint="default" w:ascii="Times New Roman" w:hAnsi="Times New Roman" w:eastAsia="宋体" w:cs="Times New Roman"/>
                <w:color w:val="auto"/>
                <w:sz w:val="24"/>
                <w:szCs w:val="24"/>
              </w:rPr>
              <w:t>(T)——靠近围护结构处室外N个声源i倍频带的叠加声压级，dB；</w:t>
            </w:r>
          </w:p>
          <w:p w14:paraId="3523D96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eastAsia="宋体" w:cs="Times New Roman"/>
                <w:color w:val="auto"/>
                <w:sz w:val="24"/>
                <w:szCs w:val="24"/>
                <w:vertAlign w:val="subscript"/>
              </w:rPr>
              <w:t>p1i</w:t>
            </w:r>
            <w:r>
              <w:rPr>
                <w:rFonts w:hint="default" w:ascii="Times New Roman" w:hAnsi="Times New Roman" w:eastAsia="宋体" w:cs="Times New Roman"/>
                <w:color w:val="auto"/>
                <w:sz w:val="24"/>
                <w:szCs w:val="24"/>
              </w:rPr>
              <w:t>(T)——靠近围护结构处室内N个声源i倍频带的叠加声压级，dB；</w:t>
            </w:r>
          </w:p>
          <w:p w14:paraId="0C80B651">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TL——建筑物隔声量。</w:t>
            </w:r>
          </w:p>
          <w:p w14:paraId="766CDB9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C：中心位置位于透声面积（S）的等效声级的倍频带声功率级： </w:t>
            </w:r>
          </w:p>
          <w:p w14:paraId="2AD619C0">
            <w:pPr>
              <w:ind w:firstLine="48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eastAsia="宋体" w:cs="Times New Roman"/>
                <w:color w:val="auto"/>
                <w:sz w:val="24"/>
                <w:szCs w:val="24"/>
                <w:vertAlign w:val="subscript"/>
              </w:rPr>
              <w:t>w</w:t>
            </w:r>
            <w:r>
              <w:rPr>
                <w:rFonts w:hint="default" w:ascii="Times New Roman" w:hAnsi="Times New Roman" w:eastAsia="宋体" w:cs="Times New Roman"/>
                <w:color w:val="auto"/>
                <w:sz w:val="24"/>
                <w:szCs w:val="24"/>
              </w:rPr>
              <w:t>= L</w:t>
            </w:r>
            <w:r>
              <w:rPr>
                <w:rFonts w:hint="default" w:ascii="Times New Roman" w:hAnsi="Times New Roman" w:eastAsia="宋体" w:cs="Times New Roman"/>
                <w:color w:val="auto"/>
                <w:sz w:val="24"/>
                <w:szCs w:val="24"/>
                <w:vertAlign w:val="subscript"/>
              </w:rPr>
              <w:t>p2</w:t>
            </w:r>
            <w:r>
              <w:rPr>
                <w:rFonts w:hint="default" w:ascii="Times New Roman" w:hAnsi="Times New Roman" w:eastAsia="宋体" w:cs="Times New Roman"/>
                <w:color w:val="auto"/>
                <w:sz w:val="24"/>
                <w:szCs w:val="24"/>
              </w:rPr>
              <w:t xml:space="preserve"> (T)+10lg S</w:t>
            </w:r>
          </w:p>
          <w:p w14:paraId="7A18324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式中：Lw—声源功率级，dB；</w:t>
            </w:r>
          </w:p>
          <w:p w14:paraId="00A2D9A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eastAsia="宋体" w:cs="Times New Roman"/>
                <w:color w:val="auto"/>
                <w:sz w:val="24"/>
                <w:szCs w:val="24"/>
                <w:vertAlign w:val="subscript"/>
              </w:rPr>
              <w:t xml:space="preserve">p2 </w:t>
            </w:r>
            <w:r>
              <w:rPr>
                <w:rFonts w:hint="default" w:ascii="Times New Roman" w:hAnsi="Times New Roman" w:eastAsia="宋体" w:cs="Times New Roman"/>
                <w:color w:val="auto"/>
                <w:sz w:val="24"/>
                <w:szCs w:val="24"/>
              </w:rPr>
              <w:t>(T)—靠近围护结构处室外倍频带声压级，dB；</w:t>
            </w:r>
          </w:p>
          <w:p w14:paraId="591909E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S—透声面积，m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p>
          <w:p w14:paraId="0D0CC8E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D：预测点位置的倍频带声压级：</w:t>
            </w:r>
          </w:p>
          <w:p w14:paraId="41A2026F">
            <w:pPr>
              <w:ind w:firstLine="48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t>
            </w:r>
            <w:r>
              <w:rPr>
                <w:rFonts w:hint="default" w:ascii="Times New Roman" w:hAnsi="Times New Roman" w:eastAsia="宋体" w:cs="Times New Roman"/>
                <w:color w:val="auto"/>
                <w:sz w:val="24"/>
                <w:szCs w:val="24"/>
                <w:vertAlign w:val="subscript"/>
              </w:rPr>
              <w:t>p</w:t>
            </w:r>
            <w:r>
              <w:rPr>
                <w:rFonts w:hint="default" w:ascii="Times New Roman" w:hAnsi="Times New Roman" w:eastAsia="宋体" w:cs="Times New Roman"/>
                <w:color w:val="auto"/>
                <w:sz w:val="24"/>
                <w:szCs w:val="24"/>
              </w:rPr>
              <w:t xml:space="preserve"> (r)= L</w:t>
            </w:r>
            <w:r>
              <w:rPr>
                <w:rFonts w:hint="default" w:ascii="Times New Roman" w:hAnsi="Times New Roman" w:eastAsia="宋体" w:cs="Times New Roman"/>
                <w:color w:val="auto"/>
                <w:sz w:val="24"/>
                <w:szCs w:val="24"/>
                <w:vertAlign w:val="subscript"/>
              </w:rPr>
              <w:t>w</w:t>
            </w:r>
            <w:r>
              <w:rPr>
                <w:rFonts w:hint="default" w:ascii="Times New Roman" w:hAnsi="Times New Roman" w:eastAsia="宋体" w:cs="Times New Roman"/>
                <w:color w:val="auto"/>
                <w:sz w:val="24"/>
                <w:szCs w:val="24"/>
              </w:rPr>
              <w:t>+D</w:t>
            </w:r>
            <w:r>
              <w:rPr>
                <w:rFonts w:hint="default" w:ascii="Times New Roman" w:hAnsi="Times New Roman" w:eastAsia="宋体" w:cs="Times New Roman"/>
                <w:color w:val="auto"/>
                <w:sz w:val="24"/>
                <w:szCs w:val="24"/>
                <w:vertAlign w:val="subscript"/>
              </w:rPr>
              <w:t>c</w:t>
            </w:r>
            <w:r>
              <w:rPr>
                <w:rFonts w:hint="default" w:ascii="Times New Roman" w:hAnsi="Times New Roman" w:eastAsia="宋体" w:cs="Times New Roman"/>
                <w:color w:val="auto"/>
                <w:sz w:val="24"/>
                <w:szCs w:val="24"/>
              </w:rPr>
              <w:t>—A</w:t>
            </w:r>
          </w:p>
          <w:p w14:paraId="03BD61E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式中：Lp (r)—预测点位置的倍频带声压级，dB；</w:t>
            </w:r>
          </w:p>
          <w:p w14:paraId="60135EF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Lw—倍频带声压级，dB；</w:t>
            </w:r>
          </w:p>
          <w:p w14:paraId="5738F67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Dc—指向性校正，dB；</w:t>
            </w:r>
          </w:p>
          <w:p w14:paraId="6ADB056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A—倍频带衰减，dB。</w:t>
            </w:r>
          </w:p>
          <w:p w14:paraId="6ADF5A40">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E：噪声源叠加公式：</w:t>
            </w:r>
          </w:p>
          <w:p w14:paraId="7C55CB7B">
            <w:pPr>
              <w:ind w:firstLine="48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object>
                <v:shape id="_x0000_i1030" o:spt="75" type="#_x0000_t75" style="height:25.95pt;width:97.45pt;" o:ole="t" filled="f" o:preferrelative="t" stroked="f" coordsize="21600,21600">
                  <v:path/>
                  <v:fill on="f" focussize="0,0"/>
                  <v:stroke on="f"/>
                  <v:imagedata r:id="rId33" o:title=""/>
                  <o:lock v:ext="edit" aspectratio="t"/>
                  <w10:wrap type="none"/>
                  <w10:anchorlock/>
                </v:shape>
                <o:OLEObject Type="Embed" ProgID="Equation.3" ShapeID="_x0000_i1030" DrawAspect="Content" ObjectID="_1468075730" r:id="rId32">
                  <o:LockedField>false</o:LockedField>
                </o:OLEObject>
              </w:object>
            </w:r>
          </w:p>
          <w:p w14:paraId="03923B9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式中：L</w:t>
            </w:r>
            <w:r>
              <w:rPr>
                <w:rFonts w:hint="default" w:ascii="Times New Roman" w:hAnsi="Times New Roman" w:eastAsia="宋体" w:cs="Times New Roman"/>
                <w:color w:val="auto"/>
                <w:sz w:val="24"/>
                <w:szCs w:val="24"/>
                <w:vertAlign w:val="subscript"/>
              </w:rPr>
              <w:t>PT</w:t>
            </w:r>
            <w:r>
              <w:rPr>
                <w:rFonts w:hint="default" w:ascii="Times New Roman" w:hAnsi="Times New Roman" w:eastAsia="宋体" w:cs="Times New Roman"/>
                <w:color w:val="auto"/>
                <w:sz w:val="24"/>
                <w:szCs w:val="24"/>
              </w:rPr>
              <w:t xml:space="preserve"> ——总声压级，dB；</w:t>
            </w:r>
          </w:p>
          <w:p w14:paraId="7542D435">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     Lpi——接受点的不同噪声源强，dB。 </w:t>
            </w:r>
          </w:p>
          <w:p w14:paraId="6F4887E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（3）噪声预测结果</w:t>
            </w:r>
          </w:p>
          <w:p w14:paraId="6505D529">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噪声影响预测结果见下表。</w:t>
            </w:r>
          </w:p>
          <w:p w14:paraId="287E28F2">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项目厂界噪声预测结果</w:t>
            </w:r>
            <w:r>
              <w:rPr>
                <w:rFonts w:hint="default" w:ascii="Times New Roman" w:hAnsi="Times New Roman" w:eastAsia="宋体" w:cs="Times New Roman"/>
                <w:b/>
                <w:bCs/>
                <w:color w:val="auto"/>
                <w:sz w:val="21"/>
                <w:szCs w:val="21"/>
              </w:rPr>
              <w:tab/>
            </w:r>
            <w:r>
              <w:rPr>
                <w:rFonts w:hint="default" w:ascii="Times New Roman" w:hAnsi="Times New Roman" w:eastAsia="宋体" w:cs="Times New Roman"/>
                <w:b/>
                <w:bCs/>
                <w:color w:val="auto"/>
                <w:sz w:val="21"/>
                <w:szCs w:val="21"/>
              </w:rPr>
              <w:t>单位：dB(A)</w:t>
            </w:r>
          </w:p>
          <w:tbl>
            <w:tblPr>
              <w:tblStyle w:val="4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3190"/>
              <w:gridCol w:w="3191"/>
            </w:tblGrid>
            <w:tr w14:paraId="41294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073CFD5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目标</w:t>
                  </w:r>
                </w:p>
              </w:tc>
              <w:tc>
                <w:tcPr>
                  <w:tcW w:w="1666" w:type="pct"/>
                  <w:tcBorders>
                    <w:tl2br w:val="nil"/>
                    <w:tr2bl w:val="nil"/>
                  </w:tcBorders>
                  <w:noWrap w:val="0"/>
                  <w:vAlign w:val="center"/>
                </w:tcPr>
                <w:p w14:paraId="5762055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昼间噪声贡献值</w:t>
                  </w:r>
                </w:p>
              </w:tc>
              <w:tc>
                <w:tcPr>
                  <w:tcW w:w="1666" w:type="pct"/>
                  <w:tcBorders>
                    <w:tl2br w:val="nil"/>
                    <w:tr2bl w:val="nil"/>
                  </w:tcBorders>
                  <w:noWrap w:val="0"/>
                  <w:vAlign w:val="center"/>
                </w:tcPr>
                <w:p w14:paraId="7631ACE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标准（昼间）</w:t>
                  </w:r>
                </w:p>
              </w:tc>
            </w:tr>
            <w:tr w14:paraId="0B29B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4031A42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东厂界</w:t>
                  </w:r>
                </w:p>
              </w:tc>
              <w:tc>
                <w:tcPr>
                  <w:tcW w:w="3190" w:type="dxa"/>
                  <w:tcBorders>
                    <w:tl2br w:val="nil"/>
                    <w:tr2bl w:val="nil"/>
                  </w:tcBorders>
                  <w:noWrap w:val="0"/>
                  <w:vAlign w:val="center"/>
                </w:tcPr>
                <w:p w14:paraId="578E4B5E">
                  <w:pPr>
                    <w:pStyle w:val="5"/>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b w:val="0"/>
                      <w:bCs w:val="0"/>
                      <w:color w:val="auto"/>
                      <w:sz w:val="21"/>
                      <w:szCs w:val="21"/>
                      <w:highlight w:val="none"/>
                      <w:vertAlign w:val="baseline"/>
                      <w:lang w:val="en-US" w:eastAsia="zh-CN"/>
                    </w:rPr>
                    <w:t>64</w:t>
                  </w:r>
                </w:p>
              </w:tc>
              <w:tc>
                <w:tcPr>
                  <w:tcW w:w="1666" w:type="pct"/>
                  <w:tcBorders>
                    <w:tl2br w:val="nil"/>
                    <w:tr2bl w:val="nil"/>
                  </w:tcBorders>
                  <w:noWrap w:val="0"/>
                  <w:vAlign w:val="center"/>
                </w:tcPr>
                <w:p w14:paraId="64D5997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2D39D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238AA32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南厂界</w:t>
                  </w:r>
                </w:p>
              </w:tc>
              <w:tc>
                <w:tcPr>
                  <w:tcW w:w="3190" w:type="dxa"/>
                  <w:tcBorders>
                    <w:tl2br w:val="nil"/>
                    <w:tr2bl w:val="nil"/>
                  </w:tcBorders>
                  <w:noWrap w:val="0"/>
                  <w:vAlign w:val="center"/>
                </w:tcPr>
                <w:p w14:paraId="14DB73A7">
                  <w:pPr>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b w:val="0"/>
                      <w:bCs w:val="0"/>
                      <w:color w:val="auto"/>
                      <w:sz w:val="21"/>
                      <w:szCs w:val="21"/>
                      <w:highlight w:val="none"/>
                      <w:vertAlign w:val="baseline"/>
                      <w:lang w:val="en-US" w:eastAsia="zh-CN"/>
                    </w:rPr>
                    <w:t>51</w:t>
                  </w:r>
                </w:p>
              </w:tc>
              <w:tc>
                <w:tcPr>
                  <w:tcW w:w="1666" w:type="pct"/>
                  <w:tcBorders>
                    <w:tl2br w:val="nil"/>
                    <w:tr2bl w:val="nil"/>
                  </w:tcBorders>
                  <w:noWrap w:val="0"/>
                  <w:vAlign w:val="center"/>
                </w:tcPr>
                <w:p w14:paraId="444F099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04EA0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7350C6C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西厂界</w:t>
                  </w:r>
                </w:p>
              </w:tc>
              <w:tc>
                <w:tcPr>
                  <w:tcW w:w="3190" w:type="dxa"/>
                  <w:tcBorders>
                    <w:tl2br w:val="nil"/>
                    <w:tr2bl w:val="nil"/>
                  </w:tcBorders>
                  <w:noWrap w:val="0"/>
                  <w:vAlign w:val="center"/>
                </w:tcPr>
                <w:p w14:paraId="0DA3B47B">
                  <w:pPr>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b w:val="0"/>
                      <w:bCs w:val="0"/>
                      <w:color w:val="auto"/>
                      <w:sz w:val="21"/>
                      <w:szCs w:val="21"/>
                      <w:highlight w:val="none"/>
                      <w:vertAlign w:val="baseline"/>
                      <w:lang w:val="en-US" w:eastAsia="zh-CN"/>
                    </w:rPr>
                    <w:t>52</w:t>
                  </w:r>
                </w:p>
              </w:tc>
              <w:tc>
                <w:tcPr>
                  <w:tcW w:w="1666" w:type="pct"/>
                  <w:tcBorders>
                    <w:tl2br w:val="nil"/>
                    <w:tr2bl w:val="nil"/>
                  </w:tcBorders>
                  <w:noWrap w:val="0"/>
                  <w:vAlign w:val="center"/>
                </w:tcPr>
                <w:p w14:paraId="2599EF5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74209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noWrap w:val="0"/>
                  <w:vAlign w:val="center"/>
                </w:tcPr>
                <w:p w14:paraId="79595E6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北厂界</w:t>
                  </w:r>
                </w:p>
              </w:tc>
              <w:tc>
                <w:tcPr>
                  <w:tcW w:w="3190" w:type="dxa"/>
                  <w:tcBorders>
                    <w:tl2br w:val="nil"/>
                    <w:tr2bl w:val="nil"/>
                  </w:tcBorders>
                  <w:noWrap w:val="0"/>
                  <w:vAlign w:val="center"/>
                </w:tcPr>
                <w:p w14:paraId="66D374E2">
                  <w:pPr>
                    <w:pStyle w:val="5"/>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b w:val="0"/>
                      <w:bCs w:val="0"/>
                      <w:color w:val="auto"/>
                      <w:sz w:val="21"/>
                      <w:szCs w:val="21"/>
                      <w:highlight w:val="none"/>
                      <w:vertAlign w:val="baseline"/>
                      <w:lang w:val="en-US" w:eastAsia="zh-CN"/>
                    </w:rPr>
                    <w:t>52</w:t>
                  </w:r>
                </w:p>
              </w:tc>
              <w:tc>
                <w:tcPr>
                  <w:tcW w:w="1666" w:type="pct"/>
                  <w:tcBorders>
                    <w:tl2br w:val="nil"/>
                    <w:tr2bl w:val="nil"/>
                  </w:tcBorders>
                  <w:noWrap w:val="0"/>
                  <w:vAlign w:val="center"/>
                </w:tcPr>
                <w:p w14:paraId="3866C3F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bl>
          <w:p w14:paraId="475E4369">
            <w:pPr>
              <w:snapToGrid w:val="0"/>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根据上表噪声预测结果，项目设备噪声通过厂房隔声和距离衰减后，</w:t>
            </w:r>
            <w:r>
              <w:rPr>
                <w:rFonts w:hint="default" w:ascii="Times New Roman" w:hAnsi="Times New Roman" w:eastAsia="宋体" w:cs="Times New Roman"/>
                <w:color w:val="auto"/>
                <w:sz w:val="24"/>
                <w:szCs w:val="24"/>
                <w:lang w:val="en-US" w:eastAsia="zh-CN"/>
              </w:rPr>
              <w:t>各厂界</w:t>
            </w:r>
            <w:r>
              <w:rPr>
                <w:rFonts w:hint="default" w:ascii="Times New Roman" w:hAnsi="Times New Roman" w:eastAsia="宋体" w:cs="Times New Roman"/>
                <w:color w:val="auto"/>
                <w:sz w:val="24"/>
                <w:szCs w:val="24"/>
              </w:rPr>
              <w:t>噪声排放均满足《工业企业厂界环境噪声排放标准》（GB12348-2008）表1中的</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类标准限值。</w:t>
            </w:r>
          </w:p>
          <w:p w14:paraId="05F26D44">
            <w:pPr>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4、固体废弃物</w:t>
            </w:r>
          </w:p>
          <w:p w14:paraId="2B3A3D18">
            <w:pPr>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4.1固体废物源强核算</w:t>
            </w:r>
          </w:p>
          <w:p w14:paraId="56CF3A22">
            <w:pPr>
              <w:numPr>
                <w:ilvl w:val="0"/>
                <w:numId w:val="0"/>
              </w:numPr>
              <w:snapToGrid w:val="0"/>
              <w:ind w:firstLine="480" w:firstLineChars="200"/>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1</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一般生产固废</w:t>
            </w:r>
          </w:p>
          <w:bookmarkEnd w:id="13"/>
          <w:p w14:paraId="65E4C6FA">
            <w:pPr>
              <w:spacing w:line="360" w:lineRule="auto"/>
              <w:ind w:firstLine="480" w:firstLineChars="200"/>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lang w:val="en-US" w:eastAsia="zh-CN"/>
              </w:rPr>
              <w:t>A、不合格品</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highlight w:val="none"/>
                <w:lang w:val="en-US" w:eastAsia="zh-CN"/>
              </w:rPr>
              <w:t>检验产生的不合格品，根据企业提供资料，不合格品产生量约为</w:t>
            </w:r>
            <w:r>
              <w:rPr>
                <w:rFonts w:hint="eastAsia" w:cs="Times New Roman"/>
                <w:b w:val="0"/>
                <w:bCs/>
                <w:color w:val="auto"/>
                <w:sz w:val="24"/>
                <w:highlight w:val="none"/>
                <w:lang w:val="en-US" w:eastAsia="zh-CN"/>
              </w:rPr>
              <w:t>2.79</w:t>
            </w:r>
            <w:r>
              <w:rPr>
                <w:rFonts w:hint="default" w:ascii="Times New Roman" w:hAnsi="Times New Roman" w:eastAsia="宋体" w:cs="Times New Roman"/>
                <w:b w:val="0"/>
                <w:bCs/>
                <w:color w:val="auto"/>
                <w:sz w:val="24"/>
                <w:highlight w:val="none"/>
                <w:lang w:val="en-US" w:eastAsia="zh-CN"/>
              </w:rPr>
              <w:t>t/a。</w:t>
            </w:r>
            <w:r>
              <w:rPr>
                <w:rFonts w:hint="default" w:ascii="Times New Roman" w:hAnsi="Times New Roman" w:eastAsia="宋体" w:cs="Times New Roman"/>
                <w:b w:val="0"/>
                <w:bCs/>
                <w:color w:val="auto"/>
                <w:sz w:val="24"/>
                <w:highlight w:val="none"/>
                <w:lang w:eastAsia="zh-CN"/>
              </w:rPr>
              <w:t>经收集后</w:t>
            </w:r>
            <w:r>
              <w:rPr>
                <w:rFonts w:hint="default" w:ascii="Times New Roman" w:hAnsi="Times New Roman" w:eastAsia="宋体" w:cs="Times New Roman"/>
                <w:b w:val="0"/>
                <w:bCs/>
                <w:color w:val="auto"/>
                <w:sz w:val="24"/>
                <w:highlight w:val="none"/>
                <w:lang w:val="en-US" w:eastAsia="zh-CN"/>
              </w:rPr>
              <w:t>回用于生产</w:t>
            </w:r>
            <w:r>
              <w:rPr>
                <w:rFonts w:hint="default" w:ascii="Times New Roman" w:hAnsi="Times New Roman" w:eastAsia="宋体" w:cs="Times New Roman"/>
                <w:b w:val="0"/>
                <w:bCs/>
                <w:color w:val="auto"/>
                <w:sz w:val="24"/>
                <w:highlight w:val="none"/>
                <w:lang w:eastAsia="zh-CN"/>
              </w:rPr>
              <w:t>。</w:t>
            </w:r>
          </w:p>
          <w:p w14:paraId="118B749C">
            <w:pPr>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b w:val="0"/>
                <w:bCs/>
                <w:color w:val="auto"/>
                <w:sz w:val="24"/>
                <w:lang w:val="en-US" w:eastAsia="zh-CN"/>
              </w:rPr>
              <w:t>B、废包装袋：项目废包装材料产生量约为6t/a；经企业统一收集后外售综合利用。</w:t>
            </w:r>
          </w:p>
          <w:p w14:paraId="67AB1F9C">
            <w:pPr>
              <w:spacing w:line="360" w:lineRule="auto"/>
              <w:ind w:firstLine="480" w:firstLineChars="200"/>
              <w:rPr>
                <w:rFonts w:hint="default" w:ascii="Times New Roman" w:hAnsi="Times New Roman" w:eastAsia="宋体" w:cs="Times New Roman"/>
                <w:b w:val="0"/>
                <w:bCs/>
                <w:color w:val="auto"/>
                <w:sz w:val="24"/>
                <w:lang w:val="en-US" w:eastAsia="zh-CN"/>
              </w:rPr>
            </w:pPr>
            <w:r>
              <w:rPr>
                <w:rFonts w:hint="eastAsia" w:cs="Times New Roman"/>
                <w:b w:val="0"/>
                <w:bCs/>
                <w:color w:val="auto"/>
                <w:sz w:val="24"/>
                <w:lang w:val="en-US" w:eastAsia="zh-CN"/>
              </w:rPr>
              <w:t>C</w:t>
            </w:r>
            <w:r>
              <w:rPr>
                <w:rFonts w:hint="default" w:ascii="Times New Roman" w:hAnsi="Times New Roman" w:eastAsia="宋体" w:cs="Times New Roman"/>
                <w:b w:val="0"/>
                <w:bCs/>
                <w:color w:val="auto"/>
                <w:sz w:val="24"/>
                <w:lang w:val="en-US" w:eastAsia="zh-CN"/>
              </w:rPr>
              <w:t>、废布袋：</w:t>
            </w:r>
            <w:r>
              <w:rPr>
                <w:rFonts w:hint="eastAsia" w:ascii="Times New Roman" w:hAnsi="Times New Roman" w:eastAsia="宋体" w:cs="Times New Roman"/>
                <w:b w:val="0"/>
                <w:bCs/>
                <w:color w:val="auto"/>
                <w:sz w:val="24"/>
                <w:lang w:val="en-US" w:eastAsia="zh-CN"/>
              </w:rPr>
              <w:t>整平、破碎粉尘经</w:t>
            </w:r>
            <w:r>
              <w:rPr>
                <w:rFonts w:hint="default" w:ascii="Times New Roman" w:hAnsi="Times New Roman" w:eastAsia="宋体" w:cs="Times New Roman"/>
                <w:b w:val="0"/>
                <w:bCs/>
                <w:color w:val="auto"/>
                <w:sz w:val="24"/>
                <w:szCs w:val="24"/>
                <w:highlight w:val="none"/>
                <w:lang w:val="en-US" w:eastAsia="zh-CN"/>
              </w:rPr>
              <w:t>布袋除尘器处理后会产生废布袋。</w:t>
            </w:r>
            <w:r>
              <w:rPr>
                <w:rFonts w:hint="default" w:ascii="Times New Roman" w:hAnsi="Times New Roman" w:eastAsia="宋体" w:cs="Times New Roman"/>
                <w:b w:val="0"/>
                <w:bCs/>
                <w:color w:val="auto"/>
                <w:sz w:val="24"/>
                <w:highlight w:val="none"/>
                <w:lang w:val="en-US" w:eastAsia="zh-CN"/>
              </w:rPr>
              <w:t>根据企业提供资料</w:t>
            </w:r>
            <w:r>
              <w:rPr>
                <w:rFonts w:hint="default" w:ascii="Times New Roman" w:hAnsi="Times New Roman" w:eastAsia="宋体" w:cs="Times New Roman"/>
                <w:b w:val="0"/>
                <w:bCs/>
                <w:color w:val="auto"/>
                <w:sz w:val="24"/>
                <w:szCs w:val="24"/>
                <w:highlight w:val="none"/>
                <w:lang w:eastAsia="zh-CN"/>
              </w:rPr>
              <w:t>，年产生量约</w:t>
            </w:r>
            <w:r>
              <w:rPr>
                <w:rFonts w:hint="default" w:ascii="Times New Roman" w:hAnsi="Times New Roman" w:eastAsia="宋体" w:cs="Times New Roman"/>
                <w:b w:val="0"/>
                <w:bCs/>
                <w:color w:val="auto"/>
                <w:sz w:val="24"/>
                <w:szCs w:val="24"/>
                <w:highlight w:val="none"/>
                <w:lang w:val="en-US" w:eastAsia="zh-CN"/>
              </w:rPr>
              <w:t>0.</w:t>
            </w:r>
            <w:r>
              <w:rPr>
                <w:rFonts w:hint="eastAsia" w:ascii="Times New Roman" w:hAnsi="Times New Roman" w:eastAsia="宋体" w:cs="Times New Roman"/>
                <w:b w:val="0"/>
                <w:bCs/>
                <w:color w:val="auto"/>
                <w:sz w:val="24"/>
                <w:szCs w:val="24"/>
                <w:highlight w:val="none"/>
                <w:lang w:val="en-US" w:eastAsia="zh-CN"/>
              </w:rPr>
              <w:t>4</w:t>
            </w:r>
            <w:r>
              <w:rPr>
                <w:rFonts w:hint="default" w:ascii="Times New Roman" w:hAnsi="Times New Roman" w:eastAsia="宋体" w:cs="Times New Roman"/>
                <w:b w:val="0"/>
                <w:bCs/>
                <w:color w:val="auto"/>
                <w:sz w:val="24"/>
                <w:szCs w:val="24"/>
                <w:highlight w:val="none"/>
                <w:lang w:eastAsia="zh-CN"/>
              </w:rPr>
              <w:t>t/a，经收集后外售综合利用。</w:t>
            </w:r>
          </w:p>
          <w:p w14:paraId="41C61044">
            <w:pPr>
              <w:spacing w:line="360" w:lineRule="auto"/>
              <w:ind w:firstLine="480" w:firstLineChars="200"/>
              <w:rPr>
                <w:rFonts w:hint="default" w:ascii="Times New Roman" w:hAnsi="Times New Roman" w:eastAsia="宋体" w:cs="Times New Roman"/>
                <w:b w:val="0"/>
                <w:bCs/>
                <w:color w:val="auto"/>
                <w:sz w:val="24"/>
                <w:lang w:val="en-US" w:eastAsia="zh-CN"/>
              </w:rPr>
            </w:pPr>
            <w:r>
              <w:rPr>
                <w:rFonts w:hint="eastAsia" w:cs="Times New Roman"/>
                <w:b w:val="0"/>
                <w:bCs/>
                <w:color w:val="auto"/>
                <w:sz w:val="24"/>
                <w:lang w:val="en-US" w:eastAsia="zh-CN"/>
              </w:rPr>
              <w:t>D</w:t>
            </w:r>
            <w:r>
              <w:rPr>
                <w:rFonts w:hint="default" w:ascii="Times New Roman" w:hAnsi="Times New Roman" w:eastAsia="宋体" w:cs="Times New Roman"/>
                <w:b w:val="0"/>
                <w:bCs/>
                <w:color w:val="auto"/>
                <w:sz w:val="24"/>
                <w:lang w:val="en-US" w:eastAsia="zh-CN"/>
              </w:rPr>
              <w:t>、收集粉尘：根据</w:t>
            </w:r>
            <w:r>
              <w:rPr>
                <w:rFonts w:hint="eastAsia" w:cs="Times New Roman"/>
                <w:color w:val="auto"/>
                <w:sz w:val="24"/>
                <w:szCs w:val="24"/>
                <w:lang w:val="en-US" w:eastAsia="zh-CN"/>
              </w:rPr>
              <w:t>2.1.1章节源强核算</w:t>
            </w:r>
            <w:r>
              <w:rPr>
                <w:rFonts w:hint="default" w:ascii="Times New Roman" w:hAnsi="Times New Roman" w:eastAsia="宋体" w:cs="Times New Roman"/>
                <w:b w:val="0"/>
                <w:bCs/>
                <w:color w:val="auto"/>
                <w:sz w:val="24"/>
                <w:lang w:val="en-US" w:eastAsia="zh-CN"/>
              </w:rPr>
              <w:t>，布袋除尘器收集粉尘量</w:t>
            </w:r>
            <w:r>
              <w:rPr>
                <w:rFonts w:hint="eastAsia" w:ascii="Times New Roman" w:hAnsi="Times New Roman" w:eastAsia="宋体" w:cs="Times New Roman"/>
                <w:b w:val="0"/>
                <w:bCs/>
                <w:color w:val="auto"/>
                <w:sz w:val="24"/>
                <w:lang w:val="en-US" w:eastAsia="zh-CN"/>
              </w:rPr>
              <w:t>月</w:t>
            </w:r>
            <w:r>
              <w:rPr>
                <w:rFonts w:hint="default" w:ascii="Times New Roman" w:hAnsi="Times New Roman" w:eastAsia="宋体" w:cs="Times New Roman"/>
                <w:b w:val="0"/>
                <w:bCs/>
                <w:color w:val="auto"/>
                <w:sz w:val="24"/>
                <w:lang w:val="en-US" w:eastAsia="zh-CN"/>
              </w:rPr>
              <w:t>为</w:t>
            </w:r>
            <w:r>
              <w:rPr>
                <w:rFonts w:hint="eastAsia" w:cs="Times New Roman"/>
                <w:b w:val="0"/>
                <w:bCs/>
                <w:color w:val="auto"/>
                <w:sz w:val="24"/>
                <w:highlight w:val="none"/>
                <w:lang w:val="en-US" w:eastAsia="zh-CN"/>
              </w:rPr>
              <w:t>0.04</w:t>
            </w:r>
            <w:r>
              <w:rPr>
                <w:rFonts w:hint="default" w:ascii="Times New Roman" w:hAnsi="Times New Roman" w:eastAsia="宋体" w:cs="Times New Roman"/>
                <w:b w:val="0"/>
                <w:bCs/>
                <w:color w:val="auto"/>
                <w:sz w:val="24"/>
                <w:highlight w:val="none"/>
                <w:lang w:val="en-US" w:eastAsia="zh-CN"/>
              </w:rPr>
              <w:t>t</w:t>
            </w:r>
            <w:r>
              <w:rPr>
                <w:rFonts w:hint="default" w:ascii="Times New Roman" w:hAnsi="Times New Roman" w:eastAsia="宋体" w:cs="Times New Roman"/>
                <w:b w:val="0"/>
                <w:bCs/>
                <w:color w:val="auto"/>
                <w:sz w:val="24"/>
                <w:lang w:val="en-US" w:eastAsia="zh-CN"/>
              </w:rPr>
              <w:t>/a</w:t>
            </w:r>
            <w:r>
              <w:rPr>
                <w:rFonts w:hint="default" w:ascii="Times New Roman" w:hAnsi="Times New Roman" w:eastAsia="宋体" w:cs="Times New Roman"/>
                <w:b w:val="0"/>
                <w:bCs/>
                <w:color w:val="auto"/>
                <w:sz w:val="24"/>
                <w:szCs w:val="24"/>
                <w:highlight w:val="none"/>
                <w:lang w:eastAsia="zh-CN"/>
              </w:rPr>
              <w:t>，经收集后</w:t>
            </w:r>
            <w:r>
              <w:rPr>
                <w:rFonts w:hint="default" w:ascii="Times New Roman" w:hAnsi="Times New Roman" w:eastAsia="宋体" w:cs="Times New Roman"/>
                <w:b w:val="0"/>
                <w:bCs/>
                <w:color w:val="auto"/>
                <w:sz w:val="24"/>
                <w:highlight w:val="none"/>
                <w:lang w:val="en-US" w:eastAsia="zh-CN"/>
              </w:rPr>
              <w:t>回用于生产</w:t>
            </w:r>
            <w:r>
              <w:rPr>
                <w:rFonts w:hint="default" w:ascii="Times New Roman" w:hAnsi="Times New Roman" w:eastAsia="宋体" w:cs="Times New Roman"/>
                <w:b w:val="0"/>
                <w:bCs/>
                <w:color w:val="auto"/>
                <w:sz w:val="24"/>
                <w:szCs w:val="24"/>
                <w:highlight w:val="none"/>
                <w:lang w:eastAsia="zh-CN"/>
              </w:rPr>
              <w:t>。</w:t>
            </w:r>
          </w:p>
          <w:p w14:paraId="31030937">
            <w:pPr>
              <w:spacing w:line="360" w:lineRule="auto"/>
              <w:ind w:firstLine="480" w:firstLineChars="200"/>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lang w:val="en-US" w:eastAsia="zh-CN"/>
              </w:rPr>
              <w:t>2</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lang w:val="en-US" w:eastAsia="zh-CN"/>
              </w:rPr>
              <w:t>生活垃圾</w:t>
            </w:r>
          </w:p>
          <w:p w14:paraId="74F8FB07">
            <w:pPr>
              <w:spacing w:line="360" w:lineRule="auto"/>
              <w:ind w:firstLine="480" w:firstLineChars="200"/>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rPr>
              <w:t>本项目有员工</w:t>
            </w:r>
            <w:r>
              <w:rPr>
                <w:rFonts w:hint="default" w:ascii="Times New Roman" w:hAnsi="Times New Roman" w:eastAsia="宋体" w:cs="Times New Roman"/>
                <w:b w:val="0"/>
                <w:bCs/>
                <w:color w:val="auto"/>
                <w:sz w:val="24"/>
                <w:lang w:val="en-US" w:eastAsia="zh-CN"/>
              </w:rPr>
              <w:t>8</w:t>
            </w:r>
            <w:r>
              <w:rPr>
                <w:rFonts w:hint="default" w:ascii="Times New Roman" w:hAnsi="Times New Roman" w:eastAsia="宋体" w:cs="Times New Roman"/>
                <w:b w:val="0"/>
                <w:bCs/>
                <w:color w:val="auto"/>
                <w:sz w:val="24"/>
              </w:rPr>
              <w:t>人，每人每天垃圾产生量按0.5kg计，生活垃圾产生量约为</w:t>
            </w:r>
            <w:r>
              <w:rPr>
                <w:rFonts w:hint="default" w:ascii="Times New Roman" w:hAnsi="Times New Roman" w:eastAsia="宋体" w:cs="Times New Roman"/>
                <w:b w:val="0"/>
                <w:bCs/>
                <w:color w:val="auto"/>
                <w:sz w:val="24"/>
                <w:lang w:val="en-US" w:eastAsia="zh-CN"/>
              </w:rPr>
              <w:t>4</w:t>
            </w:r>
            <w:r>
              <w:rPr>
                <w:rFonts w:hint="default" w:ascii="Times New Roman" w:hAnsi="Times New Roman" w:eastAsia="宋体" w:cs="Times New Roman"/>
                <w:b w:val="0"/>
                <w:bCs/>
                <w:color w:val="auto"/>
                <w:sz w:val="24"/>
              </w:rPr>
              <w:t>kg/d，则项目年生活垃圾产生量约为</w:t>
            </w:r>
            <w:r>
              <w:rPr>
                <w:rFonts w:hint="default" w:ascii="Times New Roman" w:hAnsi="Times New Roman" w:eastAsia="宋体" w:cs="Times New Roman"/>
                <w:b w:val="0"/>
                <w:bCs/>
                <w:color w:val="auto"/>
                <w:sz w:val="24"/>
                <w:lang w:val="en-US" w:eastAsia="zh-CN"/>
              </w:rPr>
              <w:t>1.2t/</w:t>
            </w:r>
            <w:r>
              <w:rPr>
                <w:rFonts w:hint="default" w:ascii="Times New Roman" w:hAnsi="Times New Roman" w:eastAsia="宋体" w:cs="Times New Roman"/>
                <w:b w:val="0"/>
                <w:bCs/>
                <w:color w:val="auto"/>
                <w:sz w:val="24"/>
              </w:rPr>
              <w:t>a。采取集中收集后由环卫部门统一外运处理。</w:t>
            </w:r>
          </w:p>
          <w:p w14:paraId="2C0038EC">
            <w:pPr>
              <w:spacing w:line="360" w:lineRule="auto"/>
              <w:ind w:firstLine="480" w:firstLineChars="200"/>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3</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危险废物</w:t>
            </w:r>
          </w:p>
          <w:p w14:paraId="60BE6975">
            <w:pPr>
              <w:pStyle w:val="391"/>
              <w:spacing w:line="360" w:lineRule="auto"/>
              <w:ind w:firstLine="420"/>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项目生产过程中会产生一定量的</w:t>
            </w:r>
            <w:r>
              <w:rPr>
                <w:rFonts w:hint="eastAsia" w:ascii="Times New Roman" w:hAnsi="Times New Roman" w:cs="Times New Roman"/>
                <w:b w:val="0"/>
                <w:bCs/>
                <w:color w:val="auto"/>
                <w:sz w:val="24"/>
                <w:highlight w:val="none"/>
                <w:lang w:val="en-US" w:eastAsia="zh-CN"/>
              </w:rPr>
              <w:t>冷却废液、</w:t>
            </w:r>
            <w:r>
              <w:rPr>
                <w:rFonts w:hint="default" w:ascii="Times New Roman" w:hAnsi="Times New Roman" w:eastAsia="宋体" w:cs="Times New Roman"/>
                <w:b w:val="0"/>
                <w:bCs/>
                <w:color w:val="auto"/>
                <w:sz w:val="24"/>
                <w:highlight w:val="none"/>
                <w:lang w:eastAsia="zh-CN"/>
              </w:rPr>
              <w:t>废齿轮油、废包装桶、废抹布手套、废活性炭</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沾染大豆油的废布袋、油泥</w:t>
            </w:r>
            <w:r>
              <w:rPr>
                <w:rFonts w:hint="default" w:ascii="Times New Roman" w:hAnsi="Times New Roman" w:eastAsia="宋体" w:cs="Times New Roman"/>
                <w:b w:val="0"/>
                <w:bCs/>
                <w:color w:val="auto"/>
                <w:sz w:val="24"/>
                <w:highlight w:val="none"/>
              </w:rPr>
              <w:t>，属于危险废物</w:t>
            </w:r>
            <w:r>
              <w:rPr>
                <w:rFonts w:hint="eastAsia" w:ascii="Times New Roman" w:hAnsi="Times New Roman"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统一收集后交由有资质的单位回收处理。</w:t>
            </w:r>
          </w:p>
          <w:p w14:paraId="6CEAEDA8">
            <w:pPr>
              <w:rPr>
                <w:rFonts w:hint="default"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A</w:t>
            </w:r>
            <w:r>
              <w:rPr>
                <w:rFonts w:hint="eastAsia" w:cs="Times New Roman"/>
                <w:b w:val="0"/>
                <w:bCs/>
                <w:color w:val="auto"/>
                <w:sz w:val="24"/>
                <w:highlight w:val="none"/>
                <w:lang w:val="en-US" w:eastAsia="zh-CN"/>
              </w:rPr>
              <w:t>、冷却废液（HW49）</w:t>
            </w:r>
          </w:p>
          <w:p w14:paraId="1872026C">
            <w:pPr>
              <w:spacing w:line="360" w:lineRule="auto"/>
              <w:ind w:firstLine="480" w:firstLineChars="200"/>
              <w:rPr>
                <w:rFonts w:hint="default" w:ascii="Times New Roman" w:hAnsi="Times New Roman" w:eastAsia="宋体" w:cs="Times New Roman"/>
                <w:b w:val="0"/>
                <w:bCs/>
                <w:color w:val="auto"/>
                <w:kern w:val="2"/>
                <w:sz w:val="24"/>
                <w:szCs w:val="21"/>
                <w:highlight w:val="none"/>
                <w:lang w:val="en-US" w:eastAsia="zh-CN" w:bidi="ar-SA"/>
              </w:rPr>
            </w:pPr>
            <w:r>
              <w:rPr>
                <w:rFonts w:hint="default" w:ascii="Times New Roman" w:hAnsi="Times New Roman" w:eastAsia="宋体" w:cs="Times New Roman"/>
                <w:b w:val="0"/>
                <w:bCs/>
                <w:color w:val="auto"/>
                <w:sz w:val="24"/>
                <w:highlight w:val="none"/>
                <w:lang w:val="en-US" w:eastAsia="zh-CN"/>
              </w:rPr>
              <w:t>企业</w:t>
            </w:r>
            <w:r>
              <w:rPr>
                <w:rFonts w:hint="eastAsia" w:cs="Times New Roman"/>
                <w:b w:val="0"/>
                <w:bCs/>
                <w:color w:val="auto"/>
                <w:sz w:val="24"/>
                <w:highlight w:val="none"/>
                <w:lang w:val="en-US" w:eastAsia="zh-CN"/>
              </w:rPr>
              <w:t>对注塑完成的产品进行直接冷却，冷却用水循环使用，定期更换</w:t>
            </w:r>
            <w:r>
              <w:rPr>
                <w:rFonts w:hint="default" w:ascii="Times New Roman" w:hAnsi="Times New Roman" w:eastAsia="宋体" w:cs="Times New Roman"/>
                <w:b w:val="0"/>
                <w:bCs/>
                <w:color w:val="auto"/>
                <w:sz w:val="24"/>
                <w:highlight w:val="none"/>
                <w:lang w:val="en-US" w:eastAsia="zh-CN"/>
              </w:rPr>
              <w:t>，</w:t>
            </w:r>
            <w:r>
              <w:rPr>
                <w:rFonts w:hint="default" w:ascii="Times New Roman" w:hAnsi="Times New Roman" w:eastAsia="宋体" w:cs="Times New Roman"/>
                <w:b w:val="0"/>
                <w:bCs/>
                <w:color w:val="auto"/>
                <w:kern w:val="2"/>
                <w:sz w:val="24"/>
                <w:szCs w:val="21"/>
                <w:highlight w:val="none"/>
                <w:lang w:val="en-US" w:eastAsia="zh-CN" w:bidi="ar-SA"/>
              </w:rPr>
              <w:t>产生量约</w:t>
            </w:r>
            <w:r>
              <w:rPr>
                <w:rFonts w:hint="eastAsia" w:cs="Times New Roman"/>
                <w:b w:val="0"/>
                <w:bCs/>
                <w:color w:val="auto"/>
                <w:kern w:val="2"/>
                <w:sz w:val="24"/>
                <w:szCs w:val="21"/>
                <w:highlight w:val="none"/>
                <w:lang w:val="en-US" w:eastAsia="zh-CN" w:bidi="ar-SA"/>
              </w:rPr>
              <w:t>2</w:t>
            </w:r>
            <w:r>
              <w:rPr>
                <w:rFonts w:hint="default" w:ascii="Times New Roman" w:hAnsi="Times New Roman" w:eastAsia="宋体" w:cs="Times New Roman"/>
                <w:b w:val="0"/>
                <w:bCs/>
                <w:color w:val="auto"/>
                <w:kern w:val="2"/>
                <w:sz w:val="24"/>
                <w:szCs w:val="21"/>
                <w:highlight w:val="none"/>
                <w:lang w:val="en-US" w:eastAsia="zh-CN" w:bidi="ar-SA"/>
              </w:rPr>
              <w:t>t/a。</w:t>
            </w:r>
            <w:r>
              <w:rPr>
                <w:rFonts w:hint="eastAsia" w:cs="Times New Roman"/>
                <w:b w:val="0"/>
                <w:bCs/>
                <w:color w:val="auto"/>
                <w:sz w:val="24"/>
                <w:highlight w:val="none"/>
                <w:lang w:val="en-US" w:eastAsia="zh-CN"/>
              </w:rPr>
              <w:t>冷却废液</w:t>
            </w:r>
            <w:r>
              <w:rPr>
                <w:rFonts w:hint="default" w:ascii="Times New Roman" w:hAnsi="Times New Roman" w:eastAsia="宋体" w:cs="Times New Roman"/>
                <w:b w:val="0"/>
                <w:bCs/>
                <w:color w:val="auto"/>
                <w:kern w:val="2"/>
                <w:sz w:val="24"/>
                <w:szCs w:val="21"/>
                <w:highlight w:val="none"/>
                <w:lang w:val="en-US" w:eastAsia="zh-CN" w:bidi="ar-SA"/>
              </w:rPr>
              <w:t>属于HW</w:t>
            </w:r>
            <w:r>
              <w:rPr>
                <w:rFonts w:hint="eastAsia" w:cs="Times New Roman"/>
                <w:b w:val="0"/>
                <w:bCs/>
                <w:color w:val="auto"/>
                <w:kern w:val="2"/>
                <w:sz w:val="24"/>
                <w:szCs w:val="21"/>
                <w:highlight w:val="none"/>
                <w:lang w:val="en-US" w:eastAsia="zh-CN" w:bidi="ar-SA"/>
              </w:rPr>
              <w:t>49</w:t>
            </w:r>
            <w:r>
              <w:rPr>
                <w:rFonts w:hint="default" w:ascii="Times New Roman" w:hAnsi="Times New Roman" w:eastAsia="宋体" w:cs="Times New Roman"/>
                <w:b w:val="0"/>
                <w:bCs/>
                <w:color w:val="auto"/>
                <w:sz w:val="24"/>
                <w:highlight w:val="none"/>
              </w:rPr>
              <w:t>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：900-</w:t>
            </w:r>
            <w:r>
              <w:rPr>
                <w:rFonts w:hint="eastAsia" w:cs="Times New Roman"/>
                <w:b w:val="0"/>
                <w:bCs/>
                <w:color w:val="auto"/>
                <w:sz w:val="24"/>
                <w:highlight w:val="none"/>
                <w:lang w:val="en-US" w:eastAsia="zh-CN"/>
              </w:rPr>
              <w:t>041</w:t>
            </w:r>
            <w:r>
              <w:rPr>
                <w:rFonts w:hint="default" w:ascii="Times New Roman" w:hAnsi="Times New Roman" w:eastAsia="宋体" w:cs="Times New Roman"/>
                <w:b w:val="0"/>
                <w:bCs/>
                <w:color w:val="auto"/>
                <w:sz w:val="24"/>
                <w:highlight w:val="none"/>
                <w:lang w:eastAsia="zh-CN"/>
              </w:rPr>
              <w:t>-</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，委托有危险废物处理资质的单位进行处理处置。</w:t>
            </w:r>
          </w:p>
          <w:p w14:paraId="5749ED16">
            <w:pPr>
              <w:rPr>
                <w:rFonts w:hint="default" w:ascii="Times New Roman" w:hAnsi="Times New Roman" w:eastAsia="宋体" w:cs="Times New Roman"/>
                <w:b w:val="0"/>
                <w:bCs/>
                <w:color w:val="auto"/>
                <w:sz w:val="24"/>
                <w:highlight w:val="none"/>
                <w:lang w:val="en-US" w:eastAsia="zh-CN"/>
              </w:rPr>
            </w:pPr>
            <w:r>
              <w:rPr>
                <w:rFonts w:hint="eastAsia" w:cs="Times New Roman"/>
                <w:b w:val="0"/>
                <w:bCs/>
                <w:color w:val="auto"/>
                <w:sz w:val="24"/>
                <w:highlight w:val="none"/>
                <w:lang w:val="en-US" w:eastAsia="zh-CN"/>
              </w:rPr>
              <w:t>B、</w:t>
            </w:r>
            <w:r>
              <w:rPr>
                <w:rFonts w:hint="default" w:ascii="Times New Roman" w:hAnsi="Times New Roman" w:eastAsia="宋体" w:cs="Times New Roman"/>
                <w:b w:val="0"/>
                <w:bCs/>
                <w:color w:val="auto"/>
                <w:sz w:val="24"/>
                <w:highlight w:val="none"/>
                <w:lang w:val="en-US" w:eastAsia="zh-CN"/>
              </w:rPr>
              <w:t>废齿轮油（HW08）</w:t>
            </w:r>
          </w:p>
          <w:p w14:paraId="3B0101D4">
            <w:pPr>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企业使用齿轮油对设备进行润滑，</w:t>
            </w:r>
            <w:r>
              <w:rPr>
                <w:rFonts w:hint="default" w:ascii="Times New Roman" w:hAnsi="Times New Roman" w:eastAsia="宋体" w:cs="Times New Roman"/>
                <w:b w:val="0"/>
                <w:bCs/>
                <w:color w:val="auto"/>
                <w:kern w:val="2"/>
                <w:sz w:val="24"/>
                <w:szCs w:val="21"/>
                <w:highlight w:val="none"/>
                <w:lang w:val="en-US" w:eastAsia="zh-CN" w:bidi="ar-SA"/>
              </w:rPr>
              <w:t>产生量约0.1t/a。</w:t>
            </w:r>
            <w:r>
              <w:rPr>
                <w:rFonts w:hint="default" w:ascii="Times New Roman" w:hAnsi="Times New Roman" w:eastAsia="宋体" w:cs="Times New Roman"/>
                <w:b w:val="0"/>
                <w:bCs/>
                <w:color w:val="auto"/>
                <w:sz w:val="24"/>
                <w:highlight w:val="none"/>
                <w:lang w:val="en-US" w:eastAsia="zh-CN"/>
              </w:rPr>
              <w:t>废齿轮油</w:t>
            </w:r>
            <w:r>
              <w:rPr>
                <w:rFonts w:hint="default" w:ascii="Times New Roman" w:hAnsi="Times New Roman" w:eastAsia="宋体" w:cs="Times New Roman"/>
                <w:b w:val="0"/>
                <w:bCs/>
                <w:color w:val="auto"/>
                <w:kern w:val="2"/>
                <w:sz w:val="24"/>
                <w:szCs w:val="21"/>
                <w:highlight w:val="none"/>
                <w:lang w:val="en-US" w:eastAsia="zh-CN" w:bidi="ar-SA"/>
              </w:rPr>
              <w:t>属于HW08</w:t>
            </w:r>
            <w:r>
              <w:rPr>
                <w:rFonts w:hint="default" w:ascii="Times New Roman" w:hAnsi="Times New Roman" w:eastAsia="宋体" w:cs="Times New Roman"/>
                <w:b w:val="0"/>
                <w:bCs/>
                <w:color w:val="auto"/>
                <w:sz w:val="24"/>
                <w:highlight w:val="none"/>
              </w:rPr>
              <w:t>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：900-217-08）</w:t>
            </w:r>
            <w:r>
              <w:rPr>
                <w:rFonts w:hint="default" w:ascii="Times New Roman" w:hAnsi="Times New Roman" w:eastAsia="宋体" w:cs="Times New Roman"/>
                <w:b w:val="0"/>
                <w:bCs/>
                <w:color w:val="auto"/>
                <w:sz w:val="24"/>
                <w:highlight w:val="none"/>
              </w:rPr>
              <w:t>，委托有危险废物处理资质的单位进行处理处置。</w:t>
            </w:r>
          </w:p>
          <w:p w14:paraId="44D052BD">
            <w:pPr>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eastAsia" w:cs="Times New Roman"/>
                <w:b w:val="0"/>
                <w:bCs/>
                <w:color w:val="auto"/>
                <w:sz w:val="24"/>
                <w:highlight w:val="none"/>
                <w:lang w:val="en-US" w:eastAsia="zh-CN"/>
              </w:rPr>
              <w:t>C、</w:t>
            </w:r>
            <w:r>
              <w:rPr>
                <w:rFonts w:hint="default" w:ascii="Times New Roman" w:hAnsi="Times New Roman" w:eastAsia="宋体" w:cs="Times New Roman"/>
                <w:b w:val="0"/>
                <w:bCs/>
                <w:color w:val="auto"/>
                <w:sz w:val="24"/>
                <w:highlight w:val="none"/>
              </w:rPr>
              <w:t>废</w:t>
            </w:r>
            <w:r>
              <w:rPr>
                <w:rFonts w:hint="default" w:ascii="Times New Roman" w:hAnsi="Times New Roman" w:eastAsia="宋体" w:cs="Times New Roman"/>
                <w:b w:val="0"/>
                <w:bCs/>
                <w:color w:val="auto"/>
                <w:sz w:val="24"/>
                <w:highlight w:val="none"/>
                <w:lang w:val="en-US" w:eastAsia="zh-CN"/>
              </w:rPr>
              <w:t>包装</w:t>
            </w:r>
            <w:r>
              <w:rPr>
                <w:rFonts w:hint="default" w:ascii="Times New Roman" w:hAnsi="Times New Roman" w:eastAsia="宋体" w:cs="Times New Roman"/>
                <w:b w:val="0"/>
                <w:bCs/>
                <w:color w:val="auto"/>
                <w:sz w:val="24"/>
                <w:highlight w:val="none"/>
              </w:rPr>
              <w:t>桶</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HW</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eastAsia="zh-CN"/>
              </w:rPr>
              <w:t>）</w:t>
            </w:r>
          </w:p>
          <w:p w14:paraId="087435C4">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val="en-US" w:eastAsia="zh-CN"/>
              </w:rPr>
              <w:t>齿轮油、ESO</w:t>
            </w:r>
            <w:r>
              <w:rPr>
                <w:rFonts w:hint="default" w:ascii="Times New Roman" w:hAnsi="Times New Roman" w:eastAsia="宋体" w:cs="Times New Roman"/>
                <w:b w:val="0"/>
                <w:bCs/>
                <w:color w:val="auto"/>
                <w:sz w:val="24"/>
                <w:highlight w:val="none"/>
              </w:rPr>
              <w:t>使用完后有废包装</w:t>
            </w:r>
            <w:r>
              <w:rPr>
                <w:rFonts w:hint="default" w:ascii="Times New Roman" w:hAnsi="Times New Roman" w:eastAsia="宋体" w:cs="Times New Roman"/>
                <w:b w:val="0"/>
                <w:bCs/>
                <w:color w:val="auto"/>
                <w:sz w:val="24"/>
                <w:highlight w:val="none"/>
                <w:lang w:val="en-US" w:eastAsia="zh-CN"/>
              </w:rPr>
              <w:t>桶产生</w:t>
            </w:r>
            <w:r>
              <w:rPr>
                <w:rFonts w:hint="default" w:ascii="Times New Roman" w:hAnsi="Times New Roman" w:eastAsia="宋体" w:cs="Times New Roman"/>
                <w:b w:val="0"/>
                <w:bCs/>
                <w:color w:val="auto"/>
                <w:sz w:val="24"/>
                <w:highlight w:val="none"/>
              </w:rPr>
              <w:t>，产生量</w:t>
            </w:r>
            <w:r>
              <w:rPr>
                <w:rFonts w:hint="default" w:ascii="Times New Roman" w:hAnsi="Times New Roman" w:eastAsia="宋体" w:cs="Times New Roman"/>
                <w:b w:val="0"/>
                <w:bCs/>
                <w:color w:val="auto"/>
                <w:sz w:val="24"/>
                <w:highlight w:val="none"/>
                <w:lang w:val="en-US" w:eastAsia="zh-CN"/>
              </w:rPr>
              <w:t>约</w:t>
            </w:r>
            <w:r>
              <w:rPr>
                <w:rFonts w:hint="default" w:ascii="Times New Roman" w:hAnsi="Times New Roman" w:eastAsia="宋体" w:cs="Times New Roman"/>
                <w:b w:val="0"/>
                <w:bCs/>
                <w:color w:val="auto"/>
                <w:sz w:val="24"/>
                <w:highlight w:val="none"/>
              </w:rPr>
              <w:t>为</w:t>
            </w:r>
            <w:r>
              <w:rPr>
                <w:rFonts w:hint="eastAsia" w:cs="Times New Roman"/>
                <w:b w:val="0"/>
                <w:bCs/>
                <w:color w:val="auto"/>
                <w:sz w:val="24"/>
                <w:highlight w:val="none"/>
                <w:lang w:val="en-US" w:eastAsia="zh-CN"/>
              </w:rPr>
              <w:t>4</w:t>
            </w:r>
            <w:r>
              <w:rPr>
                <w:rFonts w:hint="default" w:ascii="Times New Roman" w:hAnsi="Times New Roman" w:eastAsia="宋体" w:cs="Times New Roman"/>
                <w:b w:val="0"/>
                <w:bCs/>
                <w:color w:val="auto"/>
                <w:sz w:val="24"/>
                <w:highlight w:val="none"/>
              </w:rPr>
              <w:t>t</w:t>
            </w:r>
            <w:r>
              <w:rPr>
                <w:rFonts w:hint="default" w:ascii="Times New Roman" w:hAnsi="Times New Roman" w:eastAsia="宋体" w:cs="Times New Roman"/>
                <w:b w:val="0"/>
                <w:bCs/>
                <w:color w:val="auto"/>
                <w:sz w:val="24"/>
                <w:highlight w:val="none"/>
                <w:lang w:val="en-US" w:eastAsia="zh-CN"/>
              </w:rPr>
              <w:t>/</w:t>
            </w:r>
            <w:r>
              <w:rPr>
                <w:rFonts w:hint="default" w:ascii="Times New Roman" w:hAnsi="Times New Roman" w:eastAsia="宋体" w:cs="Times New Roman"/>
                <w:b w:val="0"/>
                <w:bCs/>
                <w:color w:val="auto"/>
                <w:sz w:val="24"/>
                <w:highlight w:val="none"/>
              </w:rPr>
              <w:t>a，属于HW</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rPr>
              <w:t>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w:t>
            </w:r>
            <w:r>
              <w:rPr>
                <w:rFonts w:hint="eastAsia" w:cs="Times New Roman"/>
                <w:b w:val="0"/>
                <w:bCs/>
                <w:color w:val="auto"/>
                <w:sz w:val="24"/>
                <w:highlight w:val="none"/>
                <w:lang w:eastAsia="zh-CN"/>
              </w:rPr>
              <w:t>900-041-49</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，委托有危险废物处理资质的单位进行处理处置</w:t>
            </w:r>
            <w:r>
              <w:rPr>
                <w:rFonts w:hint="default" w:ascii="Times New Roman" w:hAnsi="Times New Roman" w:eastAsia="宋体" w:cs="Times New Roman"/>
                <w:b w:val="0"/>
                <w:bCs/>
                <w:color w:val="auto"/>
                <w:sz w:val="24"/>
                <w:highlight w:val="none"/>
                <w:lang w:eastAsia="zh-CN"/>
              </w:rPr>
              <w:t>。</w:t>
            </w:r>
          </w:p>
          <w:p w14:paraId="18BDE079">
            <w:pPr>
              <w:pStyle w:val="2"/>
              <w:keepNext w:val="0"/>
              <w:keepLines w:val="0"/>
              <w:pageBreakBefore w:val="0"/>
              <w:widowControl w:val="0"/>
              <w:kinsoku/>
              <w:wordWrap/>
              <w:overflowPunct/>
              <w:topLinePunct w:val="0"/>
              <w:autoSpaceDE/>
              <w:autoSpaceDN/>
              <w:bidi w:val="0"/>
              <w:adjustRightInd/>
              <w:snapToGrid/>
              <w:spacing w:after="0" w:line="480" w:lineRule="exact"/>
              <w:textAlignment w:val="auto"/>
              <w:rPr>
                <w:rFonts w:hint="default" w:ascii="Times New Roman" w:hAnsi="Times New Roman" w:eastAsia="宋体" w:cs="Times New Roman"/>
                <w:b w:val="0"/>
                <w:bCs/>
                <w:color w:val="auto"/>
                <w:sz w:val="24"/>
                <w:highlight w:val="none"/>
                <w:lang w:val="en-US" w:eastAsia="zh-CN"/>
              </w:rPr>
            </w:pPr>
            <w:r>
              <w:rPr>
                <w:rFonts w:hint="eastAsia" w:cs="Times New Roman"/>
                <w:b w:val="0"/>
                <w:bCs/>
                <w:color w:val="auto"/>
                <w:sz w:val="24"/>
                <w:highlight w:val="none"/>
                <w:lang w:val="en-US" w:eastAsia="zh-CN"/>
              </w:rPr>
              <w:t>D、</w:t>
            </w:r>
            <w:r>
              <w:rPr>
                <w:rFonts w:hint="default" w:ascii="Times New Roman" w:hAnsi="Times New Roman" w:eastAsia="宋体" w:cs="Times New Roman"/>
                <w:b w:val="0"/>
                <w:bCs/>
                <w:color w:val="auto"/>
                <w:sz w:val="24"/>
                <w:highlight w:val="none"/>
                <w:lang w:val="en-US" w:eastAsia="zh-CN"/>
              </w:rPr>
              <w:t>废抹布手套（HW</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val="en-US" w:eastAsia="zh-CN"/>
              </w:rPr>
              <w:t>）</w:t>
            </w:r>
          </w:p>
          <w:p w14:paraId="73B15C8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val="0"/>
                <w:color w:val="auto"/>
                <w:sz w:val="24"/>
                <w:szCs w:val="24"/>
                <w:lang w:val="en-US" w:eastAsia="zh-CN"/>
              </w:rPr>
              <w:t>设备维护时使用抹布或手套对设备进行擦拭，会产生废抹布手套，</w:t>
            </w:r>
            <w:r>
              <w:rPr>
                <w:rFonts w:hint="default" w:ascii="Times New Roman" w:hAnsi="Times New Roman" w:eastAsia="宋体" w:cs="Times New Roman"/>
                <w:b w:val="0"/>
                <w:bCs/>
                <w:color w:val="auto"/>
                <w:sz w:val="24"/>
                <w:szCs w:val="24"/>
                <w:highlight w:val="none"/>
                <w:lang w:eastAsia="zh-CN"/>
              </w:rPr>
              <w:t>年产生量约</w:t>
            </w:r>
            <w:r>
              <w:rPr>
                <w:rFonts w:hint="default" w:ascii="Times New Roman" w:hAnsi="Times New Roman" w:eastAsia="宋体" w:cs="Times New Roman"/>
                <w:b w:val="0"/>
                <w:bCs/>
                <w:color w:val="auto"/>
                <w:sz w:val="24"/>
                <w:szCs w:val="24"/>
                <w:highlight w:val="none"/>
                <w:lang w:val="en-US" w:eastAsia="zh-CN"/>
              </w:rPr>
              <w:t>0.1</w:t>
            </w:r>
            <w:r>
              <w:rPr>
                <w:rFonts w:hint="default" w:ascii="Times New Roman" w:hAnsi="Times New Roman" w:eastAsia="宋体" w:cs="Times New Roman"/>
                <w:b w:val="0"/>
                <w:bCs/>
                <w:color w:val="auto"/>
                <w:sz w:val="24"/>
                <w:szCs w:val="24"/>
                <w:highlight w:val="none"/>
                <w:lang w:eastAsia="zh-CN"/>
              </w:rPr>
              <w:t>t/a，</w:t>
            </w:r>
            <w:r>
              <w:rPr>
                <w:rFonts w:hint="default" w:ascii="Times New Roman" w:hAnsi="Times New Roman" w:eastAsia="宋体" w:cs="Times New Roman"/>
                <w:b w:val="0"/>
                <w:bCs/>
                <w:color w:val="auto"/>
                <w:sz w:val="24"/>
                <w:highlight w:val="none"/>
              </w:rPr>
              <w:t>属于HW49类危险废物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900-</w:t>
            </w:r>
            <w:r>
              <w:rPr>
                <w:rFonts w:hint="eastAsia" w:cs="Times New Roman"/>
                <w:b w:val="0"/>
                <w:bCs/>
                <w:color w:val="auto"/>
                <w:sz w:val="24"/>
                <w:highlight w:val="none"/>
                <w:lang w:val="en-US" w:eastAsia="zh-CN"/>
              </w:rPr>
              <w:t>041</w:t>
            </w:r>
            <w:r>
              <w:rPr>
                <w:rFonts w:hint="default" w:ascii="Times New Roman" w:hAnsi="Times New Roman" w:eastAsia="宋体" w:cs="Times New Roman"/>
                <w:b w:val="0"/>
                <w:bCs/>
                <w:color w:val="auto"/>
                <w:sz w:val="24"/>
                <w:highlight w:val="none"/>
              </w:rPr>
              <w:t>-</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，委托有危险废物处理资质的单位进行处理处置</w:t>
            </w:r>
            <w:r>
              <w:rPr>
                <w:rFonts w:hint="default" w:ascii="Times New Roman" w:hAnsi="Times New Roman" w:eastAsia="宋体" w:cs="Times New Roman"/>
                <w:b w:val="0"/>
                <w:bCs/>
                <w:color w:val="auto"/>
                <w:sz w:val="24"/>
                <w:highlight w:val="none"/>
                <w:lang w:eastAsia="zh-CN"/>
              </w:rPr>
              <w:t>。</w:t>
            </w:r>
          </w:p>
          <w:p w14:paraId="19F5AE23">
            <w:pPr>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eastAsia" w:cs="Times New Roman"/>
                <w:b w:val="0"/>
                <w:bCs/>
                <w:color w:val="auto"/>
                <w:sz w:val="24"/>
                <w:highlight w:val="none"/>
                <w:lang w:val="en-US" w:eastAsia="zh-CN"/>
              </w:rPr>
              <w:t>E、</w:t>
            </w:r>
            <w:r>
              <w:rPr>
                <w:rFonts w:hint="default" w:ascii="Times New Roman" w:hAnsi="Times New Roman" w:eastAsia="宋体" w:cs="Times New Roman"/>
                <w:b w:val="0"/>
                <w:bCs/>
                <w:color w:val="auto"/>
                <w:sz w:val="24"/>
                <w:highlight w:val="none"/>
                <w:lang w:val="en-US" w:eastAsia="zh-CN"/>
              </w:rPr>
              <w:t>废活性炭</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HW49</w:t>
            </w:r>
            <w:r>
              <w:rPr>
                <w:rFonts w:hint="default" w:ascii="Times New Roman" w:hAnsi="Times New Roman" w:eastAsia="宋体" w:cs="Times New Roman"/>
                <w:b w:val="0"/>
                <w:bCs/>
                <w:color w:val="auto"/>
                <w:sz w:val="24"/>
                <w:highlight w:val="none"/>
                <w:lang w:eastAsia="zh-CN"/>
              </w:rPr>
              <w:t>）</w:t>
            </w:r>
          </w:p>
          <w:p w14:paraId="0BFE9C3D">
            <w:pPr>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项目废气处理设施二级活性炭吸附装置定期更换活性炭，活性炭按照《省生态环境厅关于将排污单位活性炭使用更换纳入排污许可管理的通知》中计算公式对活性炭更换频次进行计算。经前文</w:t>
            </w:r>
            <w:r>
              <w:rPr>
                <w:rFonts w:hint="default" w:ascii="Times New Roman" w:hAnsi="Times New Roman" w:eastAsia="宋体" w:cs="Times New Roman"/>
                <w:b w:val="0"/>
                <w:bCs/>
                <w:color w:val="auto"/>
                <w:sz w:val="24"/>
                <w:highlight w:val="none"/>
                <w:lang w:val="en-US" w:eastAsia="zh-CN"/>
              </w:rPr>
              <w:t>2.2</w:t>
            </w:r>
            <w:r>
              <w:rPr>
                <w:rFonts w:hint="default" w:ascii="Times New Roman" w:hAnsi="Times New Roman" w:eastAsia="宋体" w:cs="Times New Roman"/>
                <w:b w:val="0"/>
                <w:bCs/>
                <w:color w:val="auto"/>
                <w:sz w:val="24"/>
                <w:highlight w:val="none"/>
                <w:lang w:eastAsia="zh-CN"/>
              </w:rPr>
              <w:t>章节计算，预计全厂产生废活性炭量</w:t>
            </w:r>
            <w:r>
              <w:rPr>
                <w:rFonts w:hint="default" w:ascii="Times New Roman" w:hAnsi="Times New Roman" w:eastAsia="宋体" w:cs="Times New Roman"/>
                <w:b w:val="0"/>
                <w:bCs/>
                <w:color w:val="auto"/>
                <w:sz w:val="24"/>
                <w:highlight w:val="none"/>
                <w:lang w:val="en-US" w:eastAsia="zh-CN"/>
              </w:rPr>
              <w:t>约</w:t>
            </w:r>
            <w:r>
              <w:rPr>
                <w:rFonts w:hint="eastAsia" w:cs="Times New Roman"/>
                <w:b w:val="0"/>
                <w:bCs/>
                <w:color w:val="auto"/>
                <w:sz w:val="24"/>
                <w:highlight w:val="none"/>
                <w:lang w:val="en-US" w:eastAsia="zh-CN"/>
              </w:rPr>
              <w:t>2.6</w:t>
            </w:r>
            <w:r>
              <w:rPr>
                <w:rFonts w:hint="default" w:ascii="Times New Roman" w:hAnsi="Times New Roman" w:eastAsia="宋体" w:cs="Times New Roman"/>
                <w:b w:val="0"/>
                <w:bCs/>
                <w:color w:val="auto"/>
                <w:sz w:val="24"/>
                <w:highlight w:val="none"/>
                <w:lang w:eastAsia="zh-CN"/>
              </w:rPr>
              <w:t>t（含吸附的有机废气量）。</w:t>
            </w:r>
            <w:r>
              <w:rPr>
                <w:rFonts w:hint="default" w:ascii="Times New Roman" w:hAnsi="Times New Roman" w:eastAsia="宋体" w:cs="Times New Roman"/>
                <w:b w:val="0"/>
                <w:bCs/>
                <w:color w:val="auto"/>
                <w:sz w:val="24"/>
                <w:highlight w:val="none"/>
                <w:shd w:val="clear" w:color="auto" w:fill="auto"/>
                <w:lang w:val="en-US" w:eastAsia="zh-CN"/>
              </w:rPr>
              <w:t>属于</w:t>
            </w:r>
            <w:r>
              <w:rPr>
                <w:rFonts w:hint="default" w:ascii="Times New Roman" w:hAnsi="Times New Roman" w:eastAsia="宋体" w:cs="Times New Roman"/>
                <w:b w:val="0"/>
                <w:bCs/>
                <w:color w:val="auto"/>
                <w:sz w:val="24"/>
                <w:highlight w:val="none"/>
                <w:shd w:val="clear" w:color="auto" w:fill="auto"/>
              </w:rPr>
              <w:t>HW</w:t>
            </w:r>
            <w:r>
              <w:rPr>
                <w:rFonts w:hint="default" w:ascii="Times New Roman" w:hAnsi="Times New Roman" w:eastAsia="宋体" w:cs="Times New Roman"/>
                <w:b w:val="0"/>
                <w:bCs/>
                <w:color w:val="auto"/>
                <w:sz w:val="24"/>
                <w:highlight w:val="none"/>
                <w:shd w:val="clear" w:color="auto" w:fill="auto"/>
                <w:lang w:val="en-US" w:eastAsia="zh-CN"/>
              </w:rPr>
              <w:t>49</w:t>
            </w:r>
            <w:r>
              <w:rPr>
                <w:rFonts w:hint="default" w:ascii="Times New Roman" w:hAnsi="Times New Roman" w:eastAsia="宋体" w:cs="Times New Roman"/>
                <w:b w:val="0"/>
                <w:bCs/>
                <w:color w:val="auto"/>
                <w:sz w:val="24"/>
                <w:highlight w:val="none"/>
                <w:shd w:val="clear" w:color="auto" w:fill="auto"/>
              </w:rPr>
              <w:t>类危险废物</w:t>
            </w:r>
            <w:r>
              <w:rPr>
                <w:rFonts w:hint="default" w:ascii="Times New Roman" w:hAnsi="Times New Roman" w:eastAsia="宋体" w:cs="Times New Roman"/>
                <w:b w:val="0"/>
                <w:bCs/>
                <w:color w:val="auto"/>
                <w:sz w:val="24"/>
                <w:highlight w:val="none"/>
                <w:shd w:val="clear" w:color="auto" w:fill="auto"/>
                <w:lang w:eastAsia="zh-CN"/>
              </w:rPr>
              <w:t>（</w:t>
            </w:r>
            <w:r>
              <w:rPr>
                <w:rFonts w:hint="default" w:ascii="Times New Roman" w:hAnsi="Times New Roman" w:eastAsia="宋体" w:cs="Times New Roman"/>
                <w:b w:val="0"/>
                <w:bCs/>
                <w:color w:val="auto"/>
                <w:sz w:val="24"/>
                <w:highlight w:val="none"/>
                <w:shd w:val="clear" w:color="auto" w:fill="auto"/>
              </w:rPr>
              <w:t>危废代码</w:t>
            </w:r>
            <w:r>
              <w:rPr>
                <w:rFonts w:hint="default" w:ascii="Times New Roman" w:hAnsi="Times New Roman" w:eastAsia="宋体" w:cs="Times New Roman"/>
                <w:b w:val="0"/>
                <w:bCs/>
                <w:color w:val="auto"/>
                <w:sz w:val="24"/>
                <w:highlight w:val="none"/>
                <w:shd w:val="clear" w:color="auto" w:fill="auto"/>
                <w:lang w:eastAsia="zh-CN"/>
              </w:rPr>
              <w:t>：</w:t>
            </w:r>
            <w:r>
              <w:rPr>
                <w:rFonts w:hint="default" w:ascii="Times New Roman" w:hAnsi="Times New Roman" w:eastAsia="宋体" w:cs="Times New Roman"/>
                <w:b w:val="0"/>
                <w:bCs/>
                <w:color w:val="auto"/>
                <w:sz w:val="24"/>
                <w:highlight w:val="none"/>
                <w:shd w:val="clear" w:color="auto" w:fill="auto"/>
              </w:rPr>
              <w:t>900-0</w:t>
            </w:r>
            <w:r>
              <w:rPr>
                <w:rFonts w:hint="default" w:ascii="Times New Roman" w:hAnsi="Times New Roman" w:eastAsia="宋体" w:cs="Times New Roman"/>
                <w:b w:val="0"/>
                <w:bCs/>
                <w:color w:val="auto"/>
                <w:sz w:val="24"/>
                <w:highlight w:val="none"/>
                <w:shd w:val="clear" w:color="auto" w:fill="auto"/>
                <w:lang w:val="en-US" w:eastAsia="zh-CN"/>
              </w:rPr>
              <w:t>39</w:t>
            </w:r>
            <w:r>
              <w:rPr>
                <w:rFonts w:hint="default" w:ascii="Times New Roman" w:hAnsi="Times New Roman" w:eastAsia="宋体" w:cs="Times New Roman"/>
                <w:b w:val="0"/>
                <w:bCs/>
                <w:color w:val="auto"/>
                <w:sz w:val="24"/>
                <w:highlight w:val="none"/>
                <w:shd w:val="clear" w:color="auto" w:fill="auto"/>
              </w:rPr>
              <w:t>-49</w:t>
            </w:r>
            <w:r>
              <w:rPr>
                <w:rFonts w:hint="default" w:ascii="Times New Roman" w:hAnsi="Times New Roman" w:eastAsia="宋体" w:cs="Times New Roman"/>
                <w:b w:val="0"/>
                <w:bCs/>
                <w:color w:val="auto"/>
                <w:sz w:val="24"/>
                <w:highlight w:val="none"/>
                <w:shd w:val="clear" w:color="auto" w:fill="auto"/>
                <w:lang w:eastAsia="zh-CN"/>
              </w:rPr>
              <w:t>）</w:t>
            </w:r>
            <w:r>
              <w:rPr>
                <w:rFonts w:hint="default" w:ascii="Times New Roman" w:hAnsi="Times New Roman" w:eastAsia="宋体" w:cs="Times New Roman"/>
                <w:b w:val="0"/>
                <w:bCs/>
                <w:color w:val="auto"/>
                <w:sz w:val="24"/>
                <w:highlight w:val="none"/>
              </w:rPr>
              <w:t>委托有危险废物处理资质的单位进行处理处置</w:t>
            </w:r>
            <w:r>
              <w:rPr>
                <w:rFonts w:hint="default" w:ascii="Times New Roman" w:hAnsi="Times New Roman" w:eastAsia="宋体" w:cs="Times New Roman"/>
                <w:b w:val="0"/>
                <w:bCs/>
                <w:color w:val="auto"/>
                <w:sz w:val="24"/>
                <w:highlight w:val="none"/>
                <w:lang w:eastAsia="zh-CN"/>
              </w:rPr>
              <w:t>。</w:t>
            </w:r>
          </w:p>
          <w:p w14:paraId="0F396467">
            <w:pPr>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eastAsia" w:cs="Times New Roman"/>
                <w:b w:val="0"/>
                <w:bCs/>
                <w:color w:val="auto"/>
                <w:sz w:val="24"/>
                <w:lang w:val="en-US" w:eastAsia="zh-CN"/>
              </w:rPr>
              <w:t>F</w:t>
            </w:r>
            <w:r>
              <w:rPr>
                <w:rFonts w:hint="default" w:ascii="Times New Roman" w:hAnsi="Times New Roman" w:eastAsia="宋体" w:cs="Times New Roman"/>
                <w:b w:val="0"/>
                <w:bCs/>
                <w:color w:val="auto"/>
                <w:sz w:val="24"/>
                <w:lang w:val="en-US" w:eastAsia="zh-CN"/>
              </w:rPr>
              <w:t>、</w:t>
            </w:r>
            <w:r>
              <w:rPr>
                <w:rFonts w:hint="eastAsia" w:cs="Times New Roman"/>
                <w:b w:val="0"/>
                <w:bCs/>
                <w:color w:val="auto"/>
                <w:sz w:val="24"/>
                <w:lang w:val="en-US" w:eastAsia="zh-CN"/>
              </w:rPr>
              <w:t>沾染大豆油的</w:t>
            </w:r>
            <w:r>
              <w:rPr>
                <w:rFonts w:hint="default" w:ascii="Times New Roman" w:hAnsi="Times New Roman" w:eastAsia="宋体" w:cs="Times New Roman"/>
                <w:b w:val="0"/>
                <w:bCs/>
                <w:color w:val="auto"/>
                <w:sz w:val="24"/>
                <w:lang w:val="en-US" w:eastAsia="zh-CN"/>
              </w:rPr>
              <w:t>废布袋</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HW49</w:t>
            </w:r>
            <w:r>
              <w:rPr>
                <w:rFonts w:hint="default" w:ascii="Times New Roman" w:hAnsi="Times New Roman" w:eastAsia="宋体" w:cs="Times New Roman"/>
                <w:b w:val="0"/>
                <w:bCs/>
                <w:color w:val="auto"/>
                <w:sz w:val="24"/>
                <w:highlight w:val="none"/>
                <w:lang w:eastAsia="zh-CN"/>
              </w:rPr>
              <w:t>）</w:t>
            </w:r>
          </w:p>
          <w:p w14:paraId="017F7875">
            <w:pPr>
              <w:spacing w:line="360" w:lineRule="auto"/>
              <w:ind w:firstLine="480" w:firstLineChars="200"/>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szCs w:val="24"/>
                <w:highlight w:val="none"/>
                <w:lang w:val="en-US" w:eastAsia="zh-CN"/>
              </w:rPr>
              <w:t>布袋除尘器处理</w:t>
            </w:r>
            <w:r>
              <w:rPr>
                <w:rFonts w:hint="eastAsia" w:cs="Times New Roman"/>
                <w:b w:val="0"/>
                <w:bCs/>
                <w:color w:val="auto"/>
                <w:sz w:val="24"/>
                <w:szCs w:val="24"/>
                <w:highlight w:val="none"/>
                <w:lang w:val="en-US" w:eastAsia="zh-CN"/>
              </w:rPr>
              <w:t>含油雾粉尘</w:t>
            </w:r>
            <w:r>
              <w:rPr>
                <w:rFonts w:hint="default" w:ascii="Times New Roman" w:hAnsi="Times New Roman" w:eastAsia="宋体" w:cs="Times New Roman"/>
                <w:b w:val="0"/>
                <w:bCs/>
                <w:color w:val="auto"/>
                <w:sz w:val="24"/>
                <w:szCs w:val="24"/>
                <w:highlight w:val="none"/>
                <w:lang w:val="en-US" w:eastAsia="zh-CN"/>
              </w:rPr>
              <w:t>后会产</w:t>
            </w:r>
            <w:r>
              <w:rPr>
                <w:rFonts w:hint="eastAsia" w:cs="Times New Roman"/>
                <w:b w:val="0"/>
                <w:bCs/>
                <w:color w:val="auto"/>
                <w:sz w:val="24"/>
                <w:szCs w:val="24"/>
                <w:highlight w:val="none"/>
                <w:lang w:val="en-US" w:eastAsia="zh-CN"/>
              </w:rPr>
              <w:t>生</w:t>
            </w:r>
            <w:r>
              <w:rPr>
                <w:rFonts w:hint="eastAsia" w:cs="Times New Roman"/>
                <w:b w:val="0"/>
                <w:bCs/>
                <w:color w:val="auto"/>
                <w:sz w:val="24"/>
                <w:lang w:val="en-US" w:eastAsia="zh-CN"/>
              </w:rPr>
              <w:t>沾染大豆油的</w:t>
            </w:r>
            <w:r>
              <w:rPr>
                <w:rFonts w:hint="default" w:ascii="Times New Roman" w:hAnsi="Times New Roman" w:eastAsia="宋体" w:cs="Times New Roman"/>
                <w:b w:val="0"/>
                <w:bCs/>
                <w:color w:val="auto"/>
                <w:sz w:val="24"/>
                <w:szCs w:val="24"/>
                <w:highlight w:val="none"/>
                <w:lang w:val="en-US" w:eastAsia="zh-CN"/>
              </w:rPr>
              <w:t>废布袋。</w:t>
            </w:r>
            <w:r>
              <w:rPr>
                <w:rFonts w:hint="default" w:ascii="Times New Roman" w:hAnsi="Times New Roman" w:eastAsia="宋体" w:cs="Times New Roman"/>
                <w:b w:val="0"/>
                <w:bCs/>
                <w:color w:val="auto"/>
                <w:sz w:val="24"/>
                <w:highlight w:val="none"/>
                <w:lang w:val="en-US" w:eastAsia="zh-CN"/>
              </w:rPr>
              <w:t>根据企业提供资料</w:t>
            </w:r>
            <w:r>
              <w:rPr>
                <w:rFonts w:hint="default" w:ascii="Times New Roman" w:hAnsi="Times New Roman" w:eastAsia="宋体" w:cs="Times New Roman"/>
                <w:b w:val="0"/>
                <w:bCs/>
                <w:color w:val="auto"/>
                <w:sz w:val="24"/>
                <w:szCs w:val="24"/>
                <w:highlight w:val="none"/>
                <w:lang w:eastAsia="zh-CN"/>
              </w:rPr>
              <w:t>，年产生量约</w:t>
            </w:r>
            <w:r>
              <w:rPr>
                <w:rFonts w:hint="default" w:ascii="Times New Roman" w:hAnsi="Times New Roman" w:eastAsia="宋体" w:cs="Times New Roman"/>
                <w:b w:val="0"/>
                <w:bCs/>
                <w:color w:val="auto"/>
                <w:sz w:val="24"/>
                <w:szCs w:val="24"/>
                <w:highlight w:val="none"/>
                <w:lang w:val="en-US" w:eastAsia="zh-CN"/>
              </w:rPr>
              <w:t>0.</w:t>
            </w:r>
            <w:r>
              <w:rPr>
                <w:rFonts w:hint="eastAsia" w:cs="Times New Roman"/>
                <w:b w:val="0"/>
                <w:bCs/>
                <w:color w:val="auto"/>
                <w:sz w:val="24"/>
                <w:szCs w:val="24"/>
                <w:highlight w:val="none"/>
                <w:lang w:val="en-US" w:eastAsia="zh-CN"/>
              </w:rPr>
              <w:t>3</w:t>
            </w:r>
            <w:r>
              <w:rPr>
                <w:rFonts w:hint="default" w:ascii="Times New Roman" w:hAnsi="Times New Roman" w:eastAsia="宋体" w:cs="Times New Roman"/>
                <w:b w:val="0"/>
                <w:bCs/>
                <w:color w:val="auto"/>
                <w:sz w:val="24"/>
                <w:szCs w:val="24"/>
                <w:highlight w:val="none"/>
                <w:lang w:eastAsia="zh-CN"/>
              </w:rPr>
              <w:t>t/a</w:t>
            </w:r>
            <w:r>
              <w:rPr>
                <w:rFonts w:hint="eastAsia" w:cs="Times New Roman"/>
                <w:b w:val="0"/>
                <w:bCs/>
                <w:color w:val="auto"/>
                <w:sz w:val="24"/>
                <w:szCs w:val="24"/>
                <w:highlight w:val="none"/>
                <w:lang w:eastAsia="zh-CN"/>
              </w:rPr>
              <w:t>。</w:t>
            </w:r>
            <w:r>
              <w:rPr>
                <w:rFonts w:hint="default" w:ascii="Times New Roman" w:hAnsi="Times New Roman" w:eastAsia="宋体" w:cs="Times New Roman"/>
                <w:b w:val="0"/>
                <w:bCs/>
                <w:color w:val="auto"/>
                <w:sz w:val="24"/>
                <w:highlight w:val="none"/>
              </w:rPr>
              <w:t>属于HW49类危险废物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900-</w:t>
            </w:r>
            <w:r>
              <w:rPr>
                <w:rFonts w:hint="eastAsia" w:cs="Times New Roman"/>
                <w:b w:val="0"/>
                <w:bCs/>
                <w:color w:val="auto"/>
                <w:sz w:val="24"/>
                <w:highlight w:val="none"/>
                <w:lang w:val="en-US" w:eastAsia="zh-CN"/>
              </w:rPr>
              <w:t>041</w:t>
            </w:r>
            <w:r>
              <w:rPr>
                <w:rFonts w:hint="default" w:ascii="Times New Roman" w:hAnsi="Times New Roman" w:eastAsia="宋体" w:cs="Times New Roman"/>
                <w:b w:val="0"/>
                <w:bCs/>
                <w:color w:val="auto"/>
                <w:sz w:val="24"/>
                <w:highlight w:val="none"/>
              </w:rPr>
              <w:t>-</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，委托有危险废物处理资质的单位进行处理处置</w:t>
            </w:r>
            <w:r>
              <w:rPr>
                <w:rFonts w:hint="default" w:ascii="Times New Roman" w:hAnsi="Times New Roman" w:eastAsia="宋体" w:cs="Times New Roman"/>
                <w:b w:val="0"/>
                <w:bCs/>
                <w:color w:val="auto"/>
                <w:sz w:val="24"/>
                <w:highlight w:val="none"/>
                <w:lang w:eastAsia="zh-CN"/>
              </w:rPr>
              <w:t>。</w:t>
            </w:r>
          </w:p>
          <w:p w14:paraId="2EF96A8D">
            <w:pPr>
              <w:numPr>
                <w:ilvl w:val="-1"/>
                <w:numId w:val="0"/>
              </w:numPr>
              <w:spacing w:line="360" w:lineRule="auto"/>
              <w:ind w:firstLine="480" w:firstLineChars="200"/>
              <w:rPr>
                <w:rFonts w:hint="eastAsia" w:cs="Times New Roman"/>
                <w:b w:val="0"/>
                <w:bCs/>
                <w:color w:val="auto"/>
                <w:sz w:val="24"/>
                <w:lang w:val="en-US" w:eastAsia="zh-CN"/>
              </w:rPr>
            </w:pPr>
            <w:r>
              <w:rPr>
                <w:rFonts w:hint="eastAsia" w:cs="Times New Roman"/>
                <w:b w:val="0"/>
                <w:bCs/>
                <w:color w:val="auto"/>
                <w:sz w:val="24"/>
                <w:lang w:val="en-US" w:eastAsia="zh-CN"/>
              </w:rPr>
              <w:t>G、油泥（HW49）</w:t>
            </w:r>
          </w:p>
          <w:p w14:paraId="5C7D3ABF">
            <w:pPr>
              <w:numPr>
                <w:ilvl w:val="-1"/>
                <w:numId w:val="0"/>
              </w:numPr>
              <w:spacing w:line="360" w:lineRule="auto"/>
              <w:ind w:firstLine="480" w:firstLineChars="200"/>
              <w:rPr>
                <w:rFonts w:hint="default" w:ascii="Times New Roman" w:hAnsi="Times New Roman" w:eastAsia="宋体" w:cs="Times New Roman"/>
                <w:b w:val="0"/>
                <w:bCs/>
                <w:color w:val="auto"/>
                <w:sz w:val="24"/>
                <w:lang w:val="en-US" w:eastAsia="zh-CN"/>
              </w:rPr>
            </w:pPr>
            <w:r>
              <w:rPr>
                <w:rFonts w:hint="eastAsia" w:cs="Times New Roman"/>
                <w:b w:val="0"/>
                <w:bCs/>
                <w:color w:val="auto"/>
                <w:sz w:val="24"/>
                <w:szCs w:val="24"/>
                <w:highlight w:val="none"/>
                <w:lang w:val="en-US" w:eastAsia="zh-CN"/>
              </w:rPr>
              <w:t>含油雾粉尘由布袋收集，形成油泥</w:t>
            </w:r>
            <w:r>
              <w:rPr>
                <w:rFonts w:hint="default" w:ascii="Times New Roman" w:hAnsi="Times New Roman" w:eastAsia="宋体" w:cs="Times New Roman"/>
                <w:b w:val="0"/>
                <w:bCs/>
                <w:color w:val="auto"/>
                <w:sz w:val="24"/>
                <w:lang w:val="en-US" w:eastAsia="zh-CN"/>
              </w:rPr>
              <w:t>，</w:t>
            </w:r>
            <w:r>
              <w:rPr>
                <w:rFonts w:hint="eastAsia" w:cs="Times New Roman"/>
                <w:b w:val="0"/>
                <w:bCs/>
                <w:color w:val="auto"/>
                <w:sz w:val="24"/>
                <w:lang w:val="en-US" w:eastAsia="zh-CN"/>
              </w:rPr>
              <w:t>年产生约</w:t>
            </w:r>
            <w:r>
              <w:rPr>
                <w:rFonts w:hint="default" w:ascii="Times New Roman" w:hAnsi="Times New Roman" w:eastAsia="宋体" w:cs="Times New Roman"/>
                <w:b w:val="0"/>
                <w:bCs/>
                <w:color w:val="auto"/>
                <w:sz w:val="24"/>
                <w:lang w:val="en-US" w:eastAsia="zh-CN"/>
              </w:rPr>
              <w:t>为</w:t>
            </w:r>
            <w:r>
              <w:rPr>
                <w:rFonts w:hint="eastAsia" w:cs="Times New Roman"/>
                <w:b w:val="0"/>
                <w:bCs/>
                <w:color w:val="auto"/>
                <w:sz w:val="24"/>
                <w:highlight w:val="none"/>
                <w:lang w:val="en-US" w:eastAsia="zh-CN"/>
              </w:rPr>
              <w:t>0.4</w:t>
            </w:r>
            <w:r>
              <w:rPr>
                <w:rFonts w:hint="default" w:ascii="Times New Roman" w:hAnsi="Times New Roman" w:eastAsia="宋体" w:cs="Times New Roman"/>
                <w:b w:val="0"/>
                <w:bCs/>
                <w:color w:val="auto"/>
                <w:sz w:val="24"/>
                <w:highlight w:val="none"/>
                <w:lang w:val="en-US" w:eastAsia="zh-CN"/>
              </w:rPr>
              <w:t>t</w:t>
            </w:r>
            <w:r>
              <w:rPr>
                <w:rFonts w:hint="default" w:ascii="Times New Roman" w:hAnsi="Times New Roman" w:eastAsia="宋体" w:cs="Times New Roman"/>
                <w:b w:val="0"/>
                <w:bCs/>
                <w:color w:val="auto"/>
                <w:sz w:val="24"/>
                <w:lang w:val="en-US" w:eastAsia="zh-CN"/>
              </w:rPr>
              <w:t>/a</w:t>
            </w:r>
            <w:r>
              <w:rPr>
                <w:rFonts w:hint="eastAsia" w:cs="Times New Roman"/>
                <w:b w:val="0"/>
                <w:bCs/>
                <w:color w:val="auto"/>
                <w:sz w:val="24"/>
                <w:szCs w:val="24"/>
                <w:highlight w:val="none"/>
                <w:lang w:eastAsia="zh-CN"/>
              </w:rPr>
              <w:t>。</w:t>
            </w:r>
            <w:r>
              <w:rPr>
                <w:rFonts w:hint="default" w:ascii="Times New Roman" w:hAnsi="Times New Roman" w:eastAsia="宋体" w:cs="Times New Roman"/>
                <w:b w:val="0"/>
                <w:bCs/>
                <w:color w:val="auto"/>
                <w:sz w:val="24"/>
                <w:highlight w:val="none"/>
              </w:rPr>
              <w:t>属于HW49类危险废物</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危废代码</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900-</w:t>
            </w:r>
            <w:r>
              <w:rPr>
                <w:rFonts w:hint="eastAsia" w:cs="Times New Roman"/>
                <w:b w:val="0"/>
                <w:bCs/>
                <w:color w:val="auto"/>
                <w:sz w:val="24"/>
                <w:highlight w:val="none"/>
                <w:lang w:val="en-US" w:eastAsia="zh-CN"/>
              </w:rPr>
              <w:t>041</w:t>
            </w:r>
            <w:r>
              <w:rPr>
                <w:rFonts w:hint="default" w:ascii="Times New Roman" w:hAnsi="Times New Roman" w:eastAsia="宋体" w:cs="Times New Roman"/>
                <w:b w:val="0"/>
                <w:bCs/>
                <w:color w:val="auto"/>
                <w:sz w:val="24"/>
                <w:highlight w:val="none"/>
              </w:rPr>
              <w:t>-</w:t>
            </w:r>
            <w:r>
              <w:rPr>
                <w:rFonts w:hint="eastAsia" w:cs="Times New Roman"/>
                <w:b w:val="0"/>
                <w:bCs/>
                <w:color w:val="auto"/>
                <w:sz w:val="24"/>
                <w:highlight w:val="none"/>
                <w:lang w:val="en-US" w:eastAsia="zh-CN"/>
              </w:rPr>
              <w:t>49</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，委托有危险废物处理资质的单位进行处理处置</w:t>
            </w:r>
            <w:r>
              <w:rPr>
                <w:rFonts w:hint="default" w:ascii="Times New Roman" w:hAnsi="Times New Roman" w:eastAsia="宋体" w:cs="Times New Roman"/>
                <w:b w:val="0"/>
                <w:bCs/>
                <w:color w:val="auto"/>
                <w:sz w:val="24"/>
                <w:highlight w:val="none"/>
                <w:lang w:eastAsia="zh-CN"/>
              </w:rPr>
              <w:t>。</w:t>
            </w:r>
          </w:p>
          <w:p w14:paraId="675E0420">
            <w:pPr>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4.2固废属性判定</w:t>
            </w:r>
          </w:p>
          <w:p w14:paraId="0301F916">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中华人民共和国固体废物污染环境防治法》、《固体废物鉴别标准通则》（GB34330-2017），对建设项目产生的物质（除目标产物，即：产品、副产品外），依据产生来源、利用和处置过程鉴别属于固体废物并且作为固体废物管理的物质。</w:t>
            </w:r>
          </w:p>
          <w:p w14:paraId="63C01A72">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根据《国家危险废物名录》（20</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年）以及《危险废物鉴别标准通则》（GB5085.7）等进行属性判定，判定该固体废物是否属于危险废物。给出的判定依据及结果见表4</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p>
          <w:p w14:paraId="139C4EBB">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4-</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建设项目</w:t>
            </w:r>
            <w:r>
              <w:rPr>
                <w:rFonts w:hint="default" w:ascii="Times New Roman" w:hAnsi="Times New Roman" w:eastAsia="宋体" w:cs="Times New Roman"/>
                <w:b/>
                <w:bCs/>
                <w:color w:val="auto"/>
                <w:sz w:val="21"/>
                <w:szCs w:val="21"/>
                <w:lang w:val="en-US" w:eastAsia="zh-CN"/>
              </w:rPr>
              <w:t>固废属性判定表</w:t>
            </w:r>
          </w:p>
          <w:tbl>
            <w:tblPr>
              <w:tblStyle w:val="4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1274"/>
              <w:gridCol w:w="1075"/>
              <w:gridCol w:w="753"/>
              <w:gridCol w:w="1058"/>
              <w:gridCol w:w="1082"/>
              <w:gridCol w:w="774"/>
              <w:gridCol w:w="1048"/>
              <w:gridCol w:w="2035"/>
            </w:tblGrid>
            <w:tr w14:paraId="39A11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restart"/>
                  <w:noWrap w:val="0"/>
                  <w:vAlign w:val="center"/>
                </w:tcPr>
                <w:p w14:paraId="7FC7BC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665" w:type="pct"/>
                  <w:vMerge w:val="restart"/>
                  <w:noWrap w:val="0"/>
                  <w:vAlign w:val="center"/>
                </w:tcPr>
                <w:p w14:paraId="499622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副产物</w:t>
                  </w:r>
                </w:p>
                <w:p w14:paraId="2D0716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名称</w:t>
                  </w:r>
                </w:p>
              </w:tc>
              <w:tc>
                <w:tcPr>
                  <w:tcW w:w="561" w:type="pct"/>
                  <w:vMerge w:val="restart"/>
                  <w:noWrap w:val="0"/>
                  <w:vAlign w:val="center"/>
                </w:tcPr>
                <w:p w14:paraId="0480DE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w:t>
                  </w:r>
                </w:p>
                <w:p w14:paraId="5CE9EA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来源</w:t>
                  </w:r>
                </w:p>
              </w:tc>
              <w:tc>
                <w:tcPr>
                  <w:tcW w:w="393" w:type="pct"/>
                  <w:vMerge w:val="restart"/>
                  <w:noWrap w:val="0"/>
                  <w:vAlign w:val="center"/>
                </w:tcPr>
                <w:p w14:paraId="192730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形态</w:t>
                  </w:r>
                </w:p>
              </w:tc>
              <w:tc>
                <w:tcPr>
                  <w:tcW w:w="552" w:type="pct"/>
                  <w:vMerge w:val="restart"/>
                  <w:noWrap w:val="0"/>
                  <w:vAlign w:val="center"/>
                </w:tcPr>
                <w:p w14:paraId="745C3B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主要</w:t>
                  </w:r>
                </w:p>
                <w:p w14:paraId="163623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成分</w:t>
                  </w:r>
                </w:p>
              </w:tc>
              <w:tc>
                <w:tcPr>
                  <w:tcW w:w="565" w:type="pct"/>
                  <w:vMerge w:val="restart"/>
                  <w:noWrap w:val="0"/>
                  <w:vAlign w:val="center"/>
                </w:tcPr>
                <w:p w14:paraId="7E2CC6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预测产生量</w:t>
                  </w:r>
                  <w:r>
                    <w:rPr>
                      <w:rFonts w:hint="default" w:ascii="Times New Roman" w:hAnsi="Times New Roman" w:eastAsia="宋体" w:cs="Times New Roman"/>
                      <w:b/>
                      <w:color w:val="auto"/>
                      <w:sz w:val="21"/>
                      <w:szCs w:val="21"/>
                      <w:lang w:eastAsia="zh-CN"/>
                    </w:rPr>
                    <w:t>（</w:t>
                  </w:r>
                  <w:r>
                    <w:rPr>
                      <w:rFonts w:hint="default" w:ascii="Times New Roman" w:hAnsi="Times New Roman" w:eastAsia="宋体" w:cs="Times New Roman"/>
                      <w:b/>
                      <w:color w:val="auto"/>
                      <w:sz w:val="21"/>
                      <w:szCs w:val="21"/>
                    </w:rPr>
                    <w:t>t/a</w:t>
                  </w:r>
                  <w:r>
                    <w:rPr>
                      <w:rFonts w:hint="default" w:ascii="Times New Roman" w:hAnsi="Times New Roman" w:eastAsia="宋体" w:cs="Times New Roman"/>
                      <w:b/>
                      <w:color w:val="auto"/>
                      <w:sz w:val="21"/>
                      <w:szCs w:val="21"/>
                      <w:lang w:eastAsia="zh-CN"/>
                    </w:rPr>
                    <w:t>）</w:t>
                  </w:r>
                </w:p>
              </w:tc>
              <w:tc>
                <w:tcPr>
                  <w:tcW w:w="2013" w:type="pct"/>
                  <w:gridSpan w:val="3"/>
                  <w:noWrap w:val="0"/>
                  <w:vAlign w:val="center"/>
                </w:tcPr>
                <w:p w14:paraId="2AC323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种类判断*</w:t>
                  </w:r>
                </w:p>
              </w:tc>
            </w:tr>
            <w:tr w14:paraId="03943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vMerge w:val="continue"/>
                  <w:noWrap w:val="0"/>
                  <w:vAlign w:val="center"/>
                </w:tcPr>
                <w:p w14:paraId="7E81FA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665" w:type="pct"/>
                  <w:vMerge w:val="continue"/>
                  <w:noWrap w:val="0"/>
                  <w:vAlign w:val="center"/>
                </w:tcPr>
                <w:p w14:paraId="547D4E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561" w:type="pct"/>
                  <w:vMerge w:val="continue"/>
                  <w:noWrap w:val="0"/>
                  <w:vAlign w:val="center"/>
                </w:tcPr>
                <w:p w14:paraId="447ACF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393" w:type="pct"/>
                  <w:vMerge w:val="continue"/>
                  <w:noWrap w:val="0"/>
                  <w:vAlign w:val="center"/>
                </w:tcPr>
                <w:p w14:paraId="7A3B7E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552" w:type="pct"/>
                  <w:vMerge w:val="continue"/>
                  <w:noWrap w:val="0"/>
                  <w:vAlign w:val="center"/>
                </w:tcPr>
                <w:p w14:paraId="33E21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565" w:type="pct"/>
                  <w:vMerge w:val="continue"/>
                  <w:noWrap w:val="0"/>
                  <w:vAlign w:val="center"/>
                </w:tcPr>
                <w:p w14:paraId="055D0B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p>
              </w:tc>
              <w:tc>
                <w:tcPr>
                  <w:tcW w:w="404" w:type="pct"/>
                  <w:noWrap w:val="0"/>
                  <w:vAlign w:val="center"/>
                </w:tcPr>
                <w:p w14:paraId="43E7AA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固体</w:t>
                  </w:r>
                </w:p>
                <w:p w14:paraId="026B6E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废物</w:t>
                  </w:r>
                </w:p>
              </w:tc>
              <w:tc>
                <w:tcPr>
                  <w:tcW w:w="547" w:type="pct"/>
                  <w:noWrap w:val="0"/>
                  <w:vAlign w:val="center"/>
                </w:tcPr>
                <w:p w14:paraId="514EBB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副产品</w:t>
                  </w:r>
                </w:p>
              </w:tc>
              <w:tc>
                <w:tcPr>
                  <w:tcW w:w="1061" w:type="pct"/>
                  <w:noWrap w:val="0"/>
                  <w:vAlign w:val="center"/>
                </w:tcPr>
                <w:p w14:paraId="5AAB05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判定依据</w:t>
                  </w:r>
                </w:p>
              </w:tc>
            </w:tr>
            <w:tr w14:paraId="064E0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noWrap w:val="0"/>
                  <w:vAlign w:val="center"/>
                </w:tcPr>
                <w:p w14:paraId="7A41AF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65" w:type="pct"/>
                  <w:noWrap w:val="0"/>
                  <w:vAlign w:val="center"/>
                </w:tcPr>
                <w:p w14:paraId="273867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生活垃圾</w:t>
                  </w:r>
                </w:p>
              </w:tc>
              <w:tc>
                <w:tcPr>
                  <w:tcW w:w="561" w:type="pct"/>
                  <w:noWrap w:val="0"/>
                  <w:vAlign w:val="center"/>
                </w:tcPr>
                <w:p w14:paraId="38DCB4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办公、生活</w:t>
                  </w:r>
                </w:p>
              </w:tc>
              <w:tc>
                <w:tcPr>
                  <w:tcW w:w="393" w:type="pct"/>
                  <w:noWrap w:val="0"/>
                  <w:vAlign w:val="center"/>
                </w:tcPr>
                <w:p w14:paraId="5A22F0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半固态</w:t>
                  </w:r>
                </w:p>
              </w:tc>
              <w:tc>
                <w:tcPr>
                  <w:tcW w:w="552" w:type="pct"/>
                  <w:noWrap w:val="0"/>
                  <w:vAlign w:val="center"/>
                </w:tcPr>
                <w:p w14:paraId="17D161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办公及生活废物</w:t>
                  </w:r>
                </w:p>
              </w:tc>
              <w:tc>
                <w:tcPr>
                  <w:tcW w:w="565" w:type="pct"/>
                  <w:noWrap w:val="0"/>
                  <w:vAlign w:val="center"/>
                </w:tcPr>
                <w:p w14:paraId="5BC4C6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w:t>
                  </w:r>
                </w:p>
              </w:tc>
              <w:tc>
                <w:tcPr>
                  <w:tcW w:w="404" w:type="pct"/>
                  <w:noWrap w:val="0"/>
                  <w:vAlign w:val="center"/>
                </w:tcPr>
                <w:p w14:paraId="49E71C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309DDA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restart"/>
                  <w:noWrap w:val="0"/>
                  <w:vAlign w:val="center"/>
                </w:tcPr>
                <w:p w14:paraId="3C5240D0">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color w:val="auto"/>
                      <w:sz w:val="21"/>
                      <w:szCs w:val="21"/>
                    </w:rPr>
                    <w:t>《固体废物鉴别标准通则》</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GB34330-2017</w:t>
                  </w:r>
                  <w:r>
                    <w:rPr>
                      <w:rFonts w:hint="default" w:ascii="Times New Roman" w:hAnsi="Times New Roman" w:eastAsia="宋体" w:cs="Times New Roman"/>
                      <w:color w:val="auto"/>
                      <w:sz w:val="21"/>
                      <w:szCs w:val="21"/>
                      <w:lang w:eastAsia="zh-CN"/>
                    </w:rPr>
                    <w:t>）</w:t>
                  </w:r>
                </w:p>
              </w:tc>
            </w:tr>
            <w:tr w14:paraId="3058D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noWrap w:val="0"/>
                  <w:vAlign w:val="center"/>
                </w:tcPr>
                <w:p w14:paraId="200DB5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665" w:type="pct"/>
                  <w:noWrap w:val="0"/>
                  <w:vAlign w:val="center"/>
                </w:tcPr>
                <w:p w14:paraId="7A47AC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不合格品</w:t>
                  </w:r>
                </w:p>
              </w:tc>
              <w:tc>
                <w:tcPr>
                  <w:tcW w:w="561" w:type="pct"/>
                  <w:noWrap w:val="0"/>
                  <w:vAlign w:val="center"/>
                </w:tcPr>
                <w:p w14:paraId="0AC1A1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检验</w:t>
                  </w:r>
                </w:p>
              </w:tc>
              <w:tc>
                <w:tcPr>
                  <w:tcW w:w="393" w:type="pct"/>
                  <w:noWrap w:val="0"/>
                  <w:vAlign w:val="center"/>
                </w:tcPr>
                <w:p w14:paraId="75F0FC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noWrap w:val="0"/>
                  <w:vAlign w:val="center"/>
                </w:tcPr>
                <w:p w14:paraId="7261C7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塑料</w:t>
                  </w:r>
                </w:p>
              </w:tc>
              <w:tc>
                <w:tcPr>
                  <w:tcW w:w="565" w:type="pct"/>
                  <w:noWrap w:val="0"/>
                  <w:vAlign w:val="center"/>
                </w:tcPr>
                <w:p w14:paraId="202311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2.79</w:t>
                  </w:r>
                </w:p>
              </w:tc>
              <w:tc>
                <w:tcPr>
                  <w:tcW w:w="404" w:type="pct"/>
                  <w:noWrap w:val="0"/>
                  <w:vAlign w:val="center"/>
                </w:tcPr>
                <w:p w14:paraId="3A5FEE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7C00D1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37CF0DCA">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51ABE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3FE70E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665" w:type="pct"/>
                  <w:noWrap w:val="0"/>
                  <w:vAlign w:val="center"/>
                </w:tcPr>
                <w:p w14:paraId="2F9F80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边角料</w:t>
                  </w:r>
                </w:p>
              </w:tc>
              <w:tc>
                <w:tcPr>
                  <w:tcW w:w="561" w:type="pct"/>
                  <w:noWrap w:val="0"/>
                  <w:vAlign w:val="center"/>
                </w:tcPr>
                <w:p w14:paraId="00E632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修边</w:t>
                  </w:r>
                </w:p>
              </w:tc>
              <w:tc>
                <w:tcPr>
                  <w:tcW w:w="393" w:type="pct"/>
                  <w:noWrap w:val="0"/>
                  <w:vAlign w:val="center"/>
                </w:tcPr>
                <w:p w14:paraId="3F275A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固态</w:t>
                  </w:r>
                </w:p>
              </w:tc>
              <w:tc>
                <w:tcPr>
                  <w:tcW w:w="552" w:type="pct"/>
                  <w:noWrap w:val="0"/>
                  <w:vAlign w:val="center"/>
                </w:tcPr>
                <w:p w14:paraId="7EC36D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塑料</w:t>
                  </w:r>
                </w:p>
              </w:tc>
              <w:tc>
                <w:tcPr>
                  <w:tcW w:w="565" w:type="pct"/>
                  <w:noWrap w:val="0"/>
                  <w:vAlign w:val="center"/>
                </w:tcPr>
                <w:p w14:paraId="7AE6F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04" w:type="pct"/>
                  <w:noWrap w:val="0"/>
                  <w:vAlign w:val="center"/>
                </w:tcPr>
                <w:p w14:paraId="7AF389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690778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008A0F57">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54CB1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5D7F71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665" w:type="pct"/>
                  <w:noWrap w:val="0"/>
                  <w:vAlign w:val="center"/>
                </w:tcPr>
                <w:p w14:paraId="794727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废包装袋</w:t>
                  </w:r>
                </w:p>
              </w:tc>
              <w:tc>
                <w:tcPr>
                  <w:tcW w:w="561" w:type="pct"/>
                  <w:noWrap w:val="0"/>
                  <w:vAlign w:val="center"/>
                </w:tcPr>
                <w:p w14:paraId="694C67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包装材料</w:t>
                  </w:r>
                </w:p>
              </w:tc>
              <w:tc>
                <w:tcPr>
                  <w:tcW w:w="393" w:type="pct"/>
                  <w:noWrap w:val="0"/>
                  <w:vAlign w:val="center"/>
                </w:tcPr>
                <w:p w14:paraId="148A63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固态</w:t>
                  </w:r>
                </w:p>
              </w:tc>
              <w:tc>
                <w:tcPr>
                  <w:tcW w:w="552" w:type="pct"/>
                  <w:noWrap w:val="0"/>
                  <w:vAlign w:val="center"/>
                </w:tcPr>
                <w:p w14:paraId="78A440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废塑料</w:t>
                  </w:r>
                </w:p>
              </w:tc>
              <w:tc>
                <w:tcPr>
                  <w:tcW w:w="565" w:type="pct"/>
                  <w:noWrap w:val="0"/>
                  <w:vAlign w:val="center"/>
                </w:tcPr>
                <w:p w14:paraId="7A99C2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404" w:type="pct"/>
                  <w:noWrap w:val="0"/>
                  <w:vAlign w:val="center"/>
                </w:tcPr>
                <w:p w14:paraId="6FBC21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3A823E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0C586D28">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76057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4A88C3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665" w:type="pct"/>
                  <w:noWrap w:val="0"/>
                  <w:vAlign w:val="center"/>
                </w:tcPr>
                <w:p w14:paraId="080FC7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废布袋</w:t>
                  </w:r>
                </w:p>
              </w:tc>
              <w:tc>
                <w:tcPr>
                  <w:tcW w:w="561" w:type="pct"/>
                  <w:noWrap w:val="0"/>
                  <w:vAlign w:val="center"/>
                </w:tcPr>
                <w:p w14:paraId="332E98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废气处理</w:t>
                  </w:r>
                </w:p>
              </w:tc>
              <w:tc>
                <w:tcPr>
                  <w:tcW w:w="393" w:type="pct"/>
                  <w:noWrap w:val="0"/>
                  <w:vAlign w:val="center"/>
                </w:tcPr>
                <w:p w14:paraId="152D31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c>
                <w:tcPr>
                  <w:tcW w:w="552" w:type="pct"/>
                  <w:noWrap w:val="0"/>
                  <w:vAlign w:val="center"/>
                </w:tcPr>
                <w:p w14:paraId="15FF45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布袋、塑料</w:t>
                  </w:r>
                </w:p>
              </w:tc>
              <w:tc>
                <w:tcPr>
                  <w:tcW w:w="565" w:type="pct"/>
                  <w:noWrap w:val="0"/>
                  <w:vAlign w:val="center"/>
                </w:tcPr>
                <w:p w14:paraId="4B5A57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w:t>
                  </w:r>
                </w:p>
              </w:tc>
              <w:tc>
                <w:tcPr>
                  <w:tcW w:w="404" w:type="pct"/>
                  <w:noWrap w:val="0"/>
                  <w:vAlign w:val="center"/>
                </w:tcPr>
                <w:p w14:paraId="2D997C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611D0D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3579951A">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45BF5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57E61B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665" w:type="pct"/>
                  <w:noWrap w:val="0"/>
                  <w:vAlign w:val="center"/>
                </w:tcPr>
                <w:p w14:paraId="040BCC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收集粉尘</w:t>
                  </w:r>
                </w:p>
              </w:tc>
              <w:tc>
                <w:tcPr>
                  <w:tcW w:w="561" w:type="pct"/>
                  <w:noWrap w:val="0"/>
                  <w:vAlign w:val="center"/>
                </w:tcPr>
                <w:p w14:paraId="60D59C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393" w:type="pct"/>
                  <w:noWrap w:val="0"/>
                  <w:vAlign w:val="center"/>
                </w:tcPr>
                <w:p w14:paraId="26FE61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noWrap w:val="0"/>
                  <w:vAlign w:val="center"/>
                </w:tcPr>
                <w:p w14:paraId="6BBF27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PVC、碳酸钙、钙锌热稳定剂、色母</w:t>
                  </w:r>
                </w:p>
              </w:tc>
              <w:tc>
                <w:tcPr>
                  <w:tcW w:w="565" w:type="pct"/>
                  <w:noWrap w:val="0"/>
                  <w:vAlign w:val="center"/>
                </w:tcPr>
                <w:p w14:paraId="648964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0.04</w:t>
                  </w:r>
                </w:p>
              </w:tc>
              <w:tc>
                <w:tcPr>
                  <w:tcW w:w="404" w:type="pct"/>
                  <w:noWrap w:val="0"/>
                  <w:vAlign w:val="center"/>
                </w:tcPr>
                <w:p w14:paraId="1B3B61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2357F7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5BA429AF">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327230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78BCF3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665" w:type="pct"/>
                  <w:noWrap w:val="0"/>
                  <w:vAlign w:val="center"/>
                </w:tcPr>
                <w:p w14:paraId="5840D7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冷却废液</w:t>
                  </w:r>
                </w:p>
              </w:tc>
              <w:tc>
                <w:tcPr>
                  <w:tcW w:w="561" w:type="pct"/>
                  <w:noWrap w:val="0"/>
                  <w:vAlign w:val="center"/>
                </w:tcPr>
                <w:p w14:paraId="28B7A0C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w:t>
                  </w:r>
                </w:p>
              </w:tc>
              <w:tc>
                <w:tcPr>
                  <w:tcW w:w="393" w:type="pct"/>
                  <w:shd w:val="clear" w:color="auto" w:fill="auto"/>
                  <w:noWrap w:val="0"/>
                  <w:vAlign w:val="center"/>
                </w:tcPr>
                <w:p w14:paraId="685E03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液态</w:t>
                  </w:r>
                </w:p>
              </w:tc>
              <w:tc>
                <w:tcPr>
                  <w:tcW w:w="552" w:type="pct"/>
                  <w:shd w:val="clear" w:color="auto" w:fill="auto"/>
                  <w:noWrap w:val="0"/>
                  <w:vAlign w:val="center"/>
                </w:tcPr>
                <w:p w14:paraId="7225C1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水、杂质</w:t>
                  </w:r>
                </w:p>
              </w:tc>
              <w:tc>
                <w:tcPr>
                  <w:tcW w:w="565" w:type="pct"/>
                  <w:shd w:val="clear" w:color="auto" w:fill="auto"/>
                  <w:noWrap w:val="0"/>
                  <w:vAlign w:val="center"/>
                </w:tcPr>
                <w:p w14:paraId="30046D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404" w:type="pct"/>
                  <w:shd w:val="clear" w:color="auto" w:fill="auto"/>
                  <w:noWrap w:val="0"/>
                  <w:vAlign w:val="center"/>
                </w:tcPr>
                <w:p w14:paraId="25749C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shd w:val="clear" w:color="auto" w:fill="auto"/>
                  <w:noWrap w:val="0"/>
                  <w:vAlign w:val="center"/>
                </w:tcPr>
                <w:p w14:paraId="66B30F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6628D6ED">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56364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2C6B70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p>
              </w:tc>
              <w:tc>
                <w:tcPr>
                  <w:tcW w:w="665" w:type="pct"/>
                  <w:noWrap w:val="0"/>
                  <w:vAlign w:val="center"/>
                </w:tcPr>
                <w:p w14:paraId="00B555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废齿轮油</w:t>
                  </w:r>
                </w:p>
              </w:tc>
              <w:tc>
                <w:tcPr>
                  <w:tcW w:w="561" w:type="pct"/>
                  <w:noWrap w:val="0"/>
                  <w:vAlign w:val="center"/>
                </w:tcPr>
                <w:p w14:paraId="5FDEDA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设备保养</w:t>
                  </w:r>
                </w:p>
              </w:tc>
              <w:tc>
                <w:tcPr>
                  <w:tcW w:w="393" w:type="pct"/>
                  <w:noWrap w:val="0"/>
                  <w:vAlign w:val="center"/>
                </w:tcPr>
                <w:p w14:paraId="0ED59F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液态</w:t>
                  </w:r>
                </w:p>
              </w:tc>
              <w:tc>
                <w:tcPr>
                  <w:tcW w:w="552" w:type="pct"/>
                  <w:noWrap w:val="0"/>
                  <w:vAlign w:val="center"/>
                </w:tcPr>
                <w:p w14:paraId="7E92E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矿物油</w:t>
                  </w:r>
                </w:p>
              </w:tc>
              <w:tc>
                <w:tcPr>
                  <w:tcW w:w="565" w:type="pct"/>
                  <w:noWrap w:val="0"/>
                  <w:vAlign w:val="center"/>
                </w:tcPr>
                <w:p w14:paraId="0F52E3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tc>
              <w:tc>
                <w:tcPr>
                  <w:tcW w:w="404" w:type="pct"/>
                  <w:noWrap w:val="0"/>
                  <w:vAlign w:val="center"/>
                </w:tcPr>
                <w:p w14:paraId="5A72B7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47" w:type="pct"/>
                  <w:noWrap w:val="0"/>
                  <w:vAlign w:val="center"/>
                </w:tcPr>
                <w:p w14:paraId="2BA5CE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555005CE">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48540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44224E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665" w:type="pct"/>
                  <w:noWrap w:val="0"/>
                  <w:vAlign w:val="center"/>
                </w:tcPr>
                <w:p w14:paraId="64450D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废包装桶</w:t>
                  </w:r>
                </w:p>
              </w:tc>
              <w:tc>
                <w:tcPr>
                  <w:tcW w:w="561" w:type="pct"/>
                  <w:noWrap w:val="0"/>
                  <w:vAlign w:val="center"/>
                </w:tcPr>
                <w:p w14:paraId="55778F8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包装材料</w:t>
                  </w:r>
                </w:p>
              </w:tc>
              <w:tc>
                <w:tcPr>
                  <w:tcW w:w="393" w:type="pct"/>
                  <w:noWrap w:val="0"/>
                  <w:vAlign w:val="center"/>
                </w:tcPr>
                <w:p w14:paraId="1C508D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noWrap w:val="0"/>
                  <w:vAlign w:val="center"/>
                </w:tcPr>
                <w:p w14:paraId="161EED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金属、矿物油</w:t>
                  </w:r>
                  <w:r>
                    <w:rPr>
                      <w:rFonts w:hint="eastAsia" w:cs="Times New Roman"/>
                      <w:color w:val="auto"/>
                      <w:sz w:val="21"/>
                      <w:szCs w:val="21"/>
                      <w:lang w:val="en-US" w:eastAsia="zh-CN"/>
                    </w:rPr>
                    <w:t>、植物油</w:t>
                  </w:r>
                </w:p>
              </w:tc>
              <w:tc>
                <w:tcPr>
                  <w:tcW w:w="565" w:type="pct"/>
                  <w:noWrap w:val="0"/>
                  <w:vAlign w:val="center"/>
                </w:tcPr>
                <w:p w14:paraId="602D61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404" w:type="pct"/>
                  <w:noWrap w:val="0"/>
                  <w:vAlign w:val="center"/>
                </w:tcPr>
                <w:p w14:paraId="5BC71A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noWrap w:val="0"/>
                  <w:vAlign w:val="center"/>
                </w:tcPr>
                <w:p w14:paraId="5D0C51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42A85BA6">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2E2A2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noWrap w:val="0"/>
                  <w:vAlign w:val="center"/>
                </w:tcPr>
                <w:p w14:paraId="2CCFEF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665" w:type="pct"/>
                  <w:shd w:val="clear" w:color="auto" w:fill="auto"/>
                  <w:noWrap w:val="0"/>
                  <w:vAlign w:val="center"/>
                </w:tcPr>
                <w:p w14:paraId="47235A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废活性炭</w:t>
                  </w:r>
                </w:p>
              </w:tc>
              <w:tc>
                <w:tcPr>
                  <w:tcW w:w="561" w:type="pct"/>
                  <w:shd w:val="clear" w:color="auto" w:fill="auto"/>
                  <w:noWrap w:val="0"/>
                  <w:vAlign w:val="center"/>
                </w:tcPr>
                <w:p w14:paraId="054548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393" w:type="pct"/>
                  <w:shd w:val="clear" w:color="auto" w:fill="auto"/>
                  <w:noWrap w:val="0"/>
                  <w:vAlign w:val="center"/>
                </w:tcPr>
                <w:p w14:paraId="1EC5D0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shd w:val="clear" w:color="auto" w:fill="auto"/>
                  <w:noWrap w:val="0"/>
                  <w:vAlign w:val="center"/>
                </w:tcPr>
                <w:p w14:paraId="6A7CA2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活性炭、有机物</w:t>
                  </w:r>
                </w:p>
              </w:tc>
              <w:tc>
                <w:tcPr>
                  <w:tcW w:w="565" w:type="pct"/>
                  <w:shd w:val="clear" w:color="auto" w:fill="auto"/>
                  <w:noWrap w:val="0"/>
                  <w:vAlign w:val="center"/>
                </w:tcPr>
                <w:p w14:paraId="70BB51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2.2</w:t>
                  </w:r>
                </w:p>
              </w:tc>
              <w:tc>
                <w:tcPr>
                  <w:tcW w:w="404" w:type="pct"/>
                  <w:shd w:val="clear" w:color="auto" w:fill="auto"/>
                  <w:noWrap w:val="0"/>
                  <w:vAlign w:val="center"/>
                </w:tcPr>
                <w:p w14:paraId="6107A9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shd w:val="clear" w:color="auto" w:fill="auto"/>
                  <w:noWrap w:val="0"/>
                  <w:vAlign w:val="center"/>
                </w:tcPr>
                <w:p w14:paraId="00C00E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62759601">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6FDC5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noWrap w:val="0"/>
                  <w:vAlign w:val="center"/>
                </w:tcPr>
                <w:p w14:paraId="041BDD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w:t>
                  </w:r>
                </w:p>
              </w:tc>
              <w:tc>
                <w:tcPr>
                  <w:tcW w:w="665" w:type="pct"/>
                  <w:shd w:val="clear" w:color="auto" w:fill="auto"/>
                  <w:noWrap w:val="0"/>
                  <w:vAlign w:val="center"/>
                </w:tcPr>
                <w:p w14:paraId="2E22FB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废抹布手套</w:t>
                  </w:r>
                </w:p>
              </w:tc>
              <w:tc>
                <w:tcPr>
                  <w:tcW w:w="561" w:type="pct"/>
                  <w:shd w:val="clear" w:color="auto" w:fill="auto"/>
                  <w:noWrap w:val="0"/>
                  <w:vAlign w:val="center"/>
                </w:tcPr>
                <w:p w14:paraId="157FC9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393" w:type="pct"/>
                  <w:shd w:val="clear" w:color="auto" w:fill="auto"/>
                  <w:noWrap w:val="0"/>
                  <w:vAlign w:val="center"/>
                </w:tcPr>
                <w:p w14:paraId="2BD733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shd w:val="clear" w:color="auto" w:fill="auto"/>
                  <w:noWrap w:val="0"/>
                  <w:vAlign w:val="center"/>
                </w:tcPr>
                <w:p w14:paraId="0B1DB5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棉、矿物油</w:t>
                  </w:r>
                </w:p>
              </w:tc>
              <w:tc>
                <w:tcPr>
                  <w:tcW w:w="565" w:type="pct"/>
                  <w:shd w:val="clear" w:color="auto" w:fill="auto"/>
                  <w:noWrap w:val="0"/>
                  <w:vAlign w:val="center"/>
                </w:tcPr>
                <w:p w14:paraId="5DB379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404" w:type="pct"/>
                  <w:shd w:val="clear" w:color="auto" w:fill="auto"/>
                  <w:noWrap w:val="0"/>
                  <w:vAlign w:val="center"/>
                </w:tcPr>
                <w:p w14:paraId="18E615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shd w:val="clear" w:color="auto" w:fill="auto"/>
                  <w:noWrap w:val="0"/>
                  <w:vAlign w:val="center"/>
                </w:tcPr>
                <w:p w14:paraId="66CB39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56D6F7A1">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4015BD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noWrap w:val="0"/>
                  <w:vAlign w:val="center"/>
                </w:tcPr>
                <w:p w14:paraId="75C325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12</w:t>
                  </w:r>
                </w:p>
              </w:tc>
              <w:tc>
                <w:tcPr>
                  <w:tcW w:w="665" w:type="pct"/>
                  <w:shd w:val="clear" w:color="auto" w:fill="auto"/>
                  <w:noWrap w:val="0"/>
                  <w:vAlign w:val="center"/>
                </w:tcPr>
                <w:p w14:paraId="10BFE3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lang w:val="en-US" w:eastAsia="zh-CN"/>
                    </w:rPr>
                  </w:pPr>
                  <w:r>
                    <w:rPr>
                      <w:rFonts w:hint="eastAsia" w:cs="Times New Roman"/>
                      <w:b w:val="0"/>
                      <w:bCs/>
                      <w:color w:val="auto"/>
                      <w:sz w:val="21"/>
                      <w:szCs w:val="21"/>
                      <w:lang w:val="en-US" w:eastAsia="zh-CN"/>
                    </w:rPr>
                    <w:t>沾染含大豆油的废布袋</w:t>
                  </w:r>
                </w:p>
              </w:tc>
              <w:tc>
                <w:tcPr>
                  <w:tcW w:w="561" w:type="pct"/>
                  <w:shd w:val="clear" w:color="auto" w:fill="auto"/>
                  <w:noWrap w:val="0"/>
                  <w:vAlign w:val="center"/>
                </w:tcPr>
                <w:p w14:paraId="464E39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393" w:type="pct"/>
                  <w:shd w:val="clear" w:color="auto" w:fill="auto"/>
                  <w:noWrap w:val="0"/>
                  <w:vAlign w:val="center"/>
                </w:tcPr>
                <w:p w14:paraId="70D3B2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固态</w:t>
                  </w:r>
                </w:p>
              </w:tc>
              <w:tc>
                <w:tcPr>
                  <w:tcW w:w="552" w:type="pct"/>
                  <w:shd w:val="clear" w:color="auto" w:fill="auto"/>
                  <w:noWrap w:val="0"/>
                  <w:vAlign w:val="center"/>
                </w:tcPr>
                <w:p w14:paraId="6CA40A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布袋、</w:t>
                  </w:r>
                  <w:r>
                    <w:rPr>
                      <w:rFonts w:hint="eastAsia" w:cs="Times New Roman"/>
                      <w:color w:val="auto"/>
                      <w:sz w:val="21"/>
                      <w:szCs w:val="21"/>
                      <w:lang w:val="en-US" w:eastAsia="zh-CN"/>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565" w:type="pct"/>
                  <w:shd w:val="clear" w:color="auto" w:fill="auto"/>
                  <w:noWrap w:val="0"/>
                  <w:vAlign w:val="center"/>
                </w:tcPr>
                <w:p w14:paraId="25DC0B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404" w:type="pct"/>
                  <w:shd w:val="clear" w:color="auto" w:fill="auto"/>
                  <w:noWrap w:val="0"/>
                  <w:vAlign w:val="center"/>
                </w:tcPr>
                <w:p w14:paraId="04B95A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shd w:val="clear" w:color="auto" w:fill="auto"/>
                  <w:noWrap w:val="0"/>
                  <w:vAlign w:val="center"/>
                </w:tcPr>
                <w:p w14:paraId="34A386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49EA4F63">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r w14:paraId="7144A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noWrap w:val="0"/>
                  <w:vAlign w:val="center"/>
                </w:tcPr>
                <w:p w14:paraId="1F43B3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13</w:t>
                  </w:r>
                </w:p>
              </w:tc>
              <w:tc>
                <w:tcPr>
                  <w:tcW w:w="665" w:type="pct"/>
                  <w:shd w:val="clear" w:color="auto" w:fill="auto"/>
                  <w:noWrap w:val="0"/>
                  <w:vAlign w:val="center"/>
                </w:tcPr>
                <w:p w14:paraId="5DB1E8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lang w:val="en-US" w:eastAsia="zh-CN"/>
                    </w:rPr>
                  </w:pPr>
                  <w:r>
                    <w:rPr>
                      <w:rFonts w:hint="eastAsia" w:cs="Times New Roman"/>
                      <w:b w:val="0"/>
                      <w:bCs/>
                      <w:color w:val="auto"/>
                      <w:sz w:val="21"/>
                      <w:szCs w:val="21"/>
                      <w:lang w:val="en-US" w:eastAsia="zh-CN"/>
                    </w:rPr>
                    <w:t>油泥</w:t>
                  </w:r>
                </w:p>
              </w:tc>
              <w:tc>
                <w:tcPr>
                  <w:tcW w:w="561" w:type="pct"/>
                  <w:shd w:val="clear" w:color="auto" w:fill="auto"/>
                  <w:noWrap w:val="0"/>
                  <w:vAlign w:val="center"/>
                </w:tcPr>
                <w:p w14:paraId="18BCB5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393" w:type="pct"/>
                  <w:shd w:val="clear" w:color="auto" w:fill="auto"/>
                  <w:noWrap w:val="0"/>
                  <w:vAlign w:val="center"/>
                </w:tcPr>
                <w:p w14:paraId="4690B3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52" w:type="pct"/>
                  <w:shd w:val="clear" w:color="auto" w:fill="auto"/>
                  <w:noWrap w:val="0"/>
                  <w:vAlign w:val="center"/>
                </w:tcPr>
                <w:p w14:paraId="4870A3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565" w:type="pct"/>
                  <w:shd w:val="clear" w:color="auto" w:fill="auto"/>
                  <w:noWrap w:val="0"/>
                  <w:vAlign w:val="center"/>
                </w:tcPr>
                <w:p w14:paraId="6709D3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0.4</w:t>
                  </w:r>
                </w:p>
              </w:tc>
              <w:tc>
                <w:tcPr>
                  <w:tcW w:w="404" w:type="pct"/>
                  <w:shd w:val="clear" w:color="auto" w:fill="auto"/>
                  <w:noWrap w:val="0"/>
                  <w:vAlign w:val="center"/>
                </w:tcPr>
                <w:p w14:paraId="7ECC7F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47" w:type="pct"/>
                  <w:shd w:val="clear" w:color="auto" w:fill="auto"/>
                  <w:noWrap w:val="0"/>
                  <w:vAlign w:val="center"/>
                </w:tcPr>
                <w:p w14:paraId="3A519B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061" w:type="pct"/>
                  <w:vMerge w:val="continue"/>
                  <w:noWrap w:val="0"/>
                  <w:vAlign w:val="center"/>
                </w:tcPr>
                <w:p w14:paraId="46D9B07F">
                  <w:pPr>
                    <w:keepNext w:val="0"/>
                    <w:keepLines w:val="0"/>
                    <w:pageBreakBefore w:val="0"/>
                    <w:widowControl w:val="0"/>
                    <w:kinsoku/>
                    <w:wordWrap/>
                    <w:overflowPunct/>
                    <w:topLinePunct w:val="0"/>
                    <w:autoSpaceDE/>
                    <w:autoSpaceDN/>
                    <w:bidi w:val="0"/>
                    <w:adjustRightInd w:val="0"/>
                    <w:snapToGrid w:val="0"/>
                    <w:spacing w:line="240" w:lineRule="auto"/>
                    <w:ind w:left="-105" w:leftChars="-50" w:right="-105" w:rightChars="-50" w:firstLine="0" w:firstLineChars="0"/>
                    <w:jc w:val="center"/>
                    <w:textAlignment w:val="auto"/>
                    <w:rPr>
                      <w:rFonts w:hint="default" w:ascii="Times New Roman" w:hAnsi="Times New Roman" w:eastAsia="宋体" w:cs="Times New Roman"/>
                      <w:color w:val="auto"/>
                      <w:sz w:val="21"/>
                      <w:szCs w:val="21"/>
                    </w:rPr>
                  </w:pPr>
                </w:p>
              </w:tc>
            </w:tr>
          </w:tbl>
          <w:p w14:paraId="1D34DC03">
            <w:pPr>
              <w:widowControl/>
              <w:ind w:firstLine="0" w:firstLineChars="0"/>
              <w:jc w:val="left"/>
              <w:textAlignment w:val="bottom"/>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固体废物分析结果汇总</w:t>
            </w:r>
          </w:p>
          <w:p w14:paraId="53F452AC">
            <w:pPr>
              <w:widowControl/>
              <w:ind w:firstLine="420"/>
              <w:jc w:val="left"/>
              <w:textAlignment w:val="bottom"/>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项目产生的固体废物名称、类别、属性和数量等情况汇总见下表4</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-2。</w:t>
            </w:r>
          </w:p>
          <w:p w14:paraId="7E5D35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eastAsia="宋体" w:cs="Times New Roman"/>
                <w:b/>
                <w:color w:val="auto"/>
                <w:sz w:val="21"/>
                <w:szCs w:val="21"/>
                <w:lang w:val="en-US" w:eastAsia="zh-CN"/>
              </w:rPr>
              <w:t>.4</w:t>
            </w:r>
            <w:r>
              <w:rPr>
                <w:rFonts w:hint="default" w:ascii="Times New Roman" w:hAnsi="Times New Roman" w:eastAsia="宋体" w:cs="Times New Roman"/>
                <w:b/>
                <w:color w:val="auto"/>
                <w:sz w:val="21"/>
                <w:szCs w:val="21"/>
              </w:rPr>
              <w:t>-2  固体废物分析结果汇总表</w:t>
            </w:r>
          </w:p>
          <w:tbl>
            <w:tblPr>
              <w:tblStyle w:val="44"/>
              <w:tblW w:w="957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27"/>
              <w:gridCol w:w="655"/>
              <w:gridCol w:w="427"/>
              <w:gridCol w:w="868"/>
              <w:gridCol w:w="838"/>
              <w:gridCol w:w="835"/>
              <w:gridCol w:w="846"/>
              <w:gridCol w:w="693"/>
              <w:gridCol w:w="1154"/>
              <w:gridCol w:w="1336"/>
              <w:gridCol w:w="980"/>
              <w:gridCol w:w="514"/>
            </w:tblGrid>
            <w:tr w14:paraId="32CE17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noWrap w:val="0"/>
                  <w:vAlign w:val="center"/>
                </w:tcPr>
                <w:p w14:paraId="3360F33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657" w:type="dxa"/>
                  <w:noWrap w:val="0"/>
                  <w:vAlign w:val="center"/>
                </w:tcPr>
                <w:p w14:paraId="01B1A494">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固体废物名称</w:t>
                  </w:r>
                </w:p>
              </w:tc>
              <w:tc>
                <w:tcPr>
                  <w:tcW w:w="427" w:type="dxa"/>
                  <w:noWrap w:val="0"/>
                  <w:vAlign w:val="center"/>
                </w:tcPr>
                <w:p w14:paraId="5573950D">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属性</w:t>
                  </w:r>
                </w:p>
              </w:tc>
              <w:tc>
                <w:tcPr>
                  <w:tcW w:w="871" w:type="dxa"/>
                  <w:noWrap w:val="0"/>
                  <w:vAlign w:val="center"/>
                </w:tcPr>
                <w:p w14:paraId="41BFC34B">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产生工序</w:t>
                  </w:r>
                </w:p>
              </w:tc>
              <w:tc>
                <w:tcPr>
                  <w:tcW w:w="841" w:type="dxa"/>
                  <w:noWrap w:val="0"/>
                  <w:vAlign w:val="center"/>
                </w:tcPr>
                <w:p w14:paraId="28AF5ADF">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823" w:type="dxa"/>
                  <w:noWrap w:val="0"/>
                  <w:vAlign w:val="center"/>
                </w:tcPr>
                <w:p w14:paraId="0B4B6E80">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主要成分</w:t>
                  </w:r>
                </w:p>
              </w:tc>
              <w:tc>
                <w:tcPr>
                  <w:tcW w:w="846" w:type="dxa"/>
                  <w:noWrap w:val="0"/>
                  <w:vAlign w:val="center"/>
                </w:tcPr>
                <w:p w14:paraId="660D40A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危险特性鉴别方法</w:t>
                  </w:r>
                </w:p>
              </w:tc>
              <w:tc>
                <w:tcPr>
                  <w:tcW w:w="694" w:type="dxa"/>
                  <w:noWrap w:val="0"/>
                  <w:vAlign w:val="center"/>
                </w:tcPr>
                <w:p w14:paraId="4937042E">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危险特性</w:t>
                  </w:r>
                </w:p>
              </w:tc>
              <w:tc>
                <w:tcPr>
                  <w:tcW w:w="1157" w:type="dxa"/>
                  <w:noWrap w:val="0"/>
                  <w:vAlign w:val="center"/>
                </w:tcPr>
                <w:p w14:paraId="5EE5FA5C">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废物类别</w:t>
                  </w:r>
                </w:p>
              </w:tc>
              <w:tc>
                <w:tcPr>
                  <w:tcW w:w="1336" w:type="dxa"/>
                  <w:noWrap w:val="0"/>
                  <w:vAlign w:val="center"/>
                </w:tcPr>
                <w:p w14:paraId="5849469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废物代码</w:t>
                  </w:r>
                </w:p>
              </w:tc>
              <w:tc>
                <w:tcPr>
                  <w:tcW w:w="980" w:type="dxa"/>
                  <w:noWrap w:val="0"/>
                  <w:vAlign w:val="center"/>
                </w:tcPr>
                <w:p w14:paraId="20BEEFE5">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估算产生量（t/a）</w:t>
                  </w:r>
                </w:p>
              </w:tc>
              <w:tc>
                <w:tcPr>
                  <w:tcW w:w="514" w:type="dxa"/>
                  <w:noWrap w:val="0"/>
                  <w:vAlign w:val="center"/>
                </w:tcPr>
                <w:p w14:paraId="4ECB0573">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利用处置方式</w:t>
                  </w:r>
                </w:p>
              </w:tc>
            </w:tr>
            <w:tr w14:paraId="400FCE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27" w:type="dxa"/>
                  <w:shd w:val="clear" w:color="auto" w:fill="auto"/>
                  <w:noWrap w:val="0"/>
                  <w:vAlign w:val="center"/>
                </w:tcPr>
                <w:p w14:paraId="3F4B74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657" w:type="dxa"/>
                  <w:noWrap w:val="0"/>
                  <w:vAlign w:val="center"/>
                </w:tcPr>
                <w:p w14:paraId="0F99F2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不合格品</w:t>
                  </w:r>
                </w:p>
              </w:tc>
              <w:tc>
                <w:tcPr>
                  <w:tcW w:w="427" w:type="dxa"/>
                  <w:vMerge w:val="restart"/>
                  <w:noWrap w:val="0"/>
                  <w:vAlign w:val="center"/>
                </w:tcPr>
                <w:p w14:paraId="4E1ACAF9">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一般工业固废</w:t>
                  </w:r>
                </w:p>
              </w:tc>
              <w:tc>
                <w:tcPr>
                  <w:tcW w:w="871" w:type="dxa"/>
                  <w:shd w:val="clear" w:color="auto" w:fill="auto"/>
                  <w:noWrap w:val="0"/>
                  <w:vAlign w:val="center"/>
                </w:tcPr>
                <w:p w14:paraId="60A576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检验</w:t>
                  </w:r>
                </w:p>
              </w:tc>
              <w:tc>
                <w:tcPr>
                  <w:tcW w:w="841" w:type="dxa"/>
                  <w:shd w:val="clear" w:color="auto" w:fill="auto"/>
                  <w:noWrap w:val="0"/>
                  <w:vAlign w:val="center"/>
                </w:tcPr>
                <w:p w14:paraId="158613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0BCC98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塑料</w:t>
                  </w:r>
                </w:p>
              </w:tc>
              <w:tc>
                <w:tcPr>
                  <w:tcW w:w="846" w:type="dxa"/>
                  <w:vMerge w:val="restart"/>
                  <w:noWrap w:val="0"/>
                  <w:vAlign w:val="center"/>
                </w:tcPr>
                <w:p w14:paraId="73C9CA4C">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《固体废物分类与代码目录》</w:t>
                  </w:r>
                </w:p>
              </w:tc>
              <w:tc>
                <w:tcPr>
                  <w:tcW w:w="694" w:type="dxa"/>
                  <w:noWrap w:val="0"/>
                  <w:vAlign w:val="center"/>
                </w:tcPr>
                <w:p w14:paraId="142428BA">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57" w:type="dxa"/>
                  <w:noWrap w:val="0"/>
                  <w:vAlign w:val="center"/>
                </w:tcPr>
                <w:p w14:paraId="60E019C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SW17</w:t>
                  </w:r>
                </w:p>
              </w:tc>
              <w:tc>
                <w:tcPr>
                  <w:tcW w:w="1336" w:type="dxa"/>
                  <w:noWrap w:val="0"/>
                  <w:vAlign w:val="center"/>
                </w:tcPr>
                <w:p w14:paraId="3EE313F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900-003-S17</w:t>
                  </w:r>
                </w:p>
              </w:tc>
              <w:tc>
                <w:tcPr>
                  <w:tcW w:w="980" w:type="dxa"/>
                  <w:shd w:val="clear" w:color="auto" w:fill="auto"/>
                  <w:noWrap w:val="0"/>
                  <w:vAlign w:val="center"/>
                </w:tcPr>
                <w:p w14:paraId="53E3B4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2.79</w:t>
                  </w:r>
                </w:p>
              </w:tc>
              <w:tc>
                <w:tcPr>
                  <w:tcW w:w="514" w:type="dxa"/>
                  <w:noWrap w:val="0"/>
                  <w:vAlign w:val="center"/>
                </w:tcPr>
                <w:p w14:paraId="74B9FE36">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回用于生产</w:t>
                  </w:r>
                </w:p>
              </w:tc>
            </w:tr>
            <w:tr w14:paraId="38D41F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6A80B6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657" w:type="dxa"/>
                  <w:noWrap w:val="0"/>
                  <w:vAlign w:val="center"/>
                </w:tcPr>
                <w:p w14:paraId="4CF57F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边角料</w:t>
                  </w:r>
                </w:p>
              </w:tc>
              <w:tc>
                <w:tcPr>
                  <w:tcW w:w="427" w:type="dxa"/>
                  <w:vMerge w:val="continue"/>
                  <w:noWrap w:val="0"/>
                  <w:vAlign w:val="center"/>
                </w:tcPr>
                <w:p w14:paraId="36D0061E">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69DCF3E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修边</w:t>
                  </w:r>
                </w:p>
              </w:tc>
              <w:tc>
                <w:tcPr>
                  <w:tcW w:w="841" w:type="dxa"/>
                  <w:shd w:val="clear" w:color="auto" w:fill="auto"/>
                  <w:noWrap w:val="0"/>
                  <w:vAlign w:val="center"/>
                </w:tcPr>
                <w:p w14:paraId="1FA0F2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固态</w:t>
                  </w:r>
                </w:p>
              </w:tc>
              <w:tc>
                <w:tcPr>
                  <w:tcW w:w="823" w:type="dxa"/>
                  <w:shd w:val="clear" w:color="auto" w:fill="auto"/>
                  <w:noWrap w:val="0"/>
                  <w:vAlign w:val="center"/>
                </w:tcPr>
                <w:p w14:paraId="6319C1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塑料</w:t>
                  </w:r>
                </w:p>
              </w:tc>
              <w:tc>
                <w:tcPr>
                  <w:tcW w:w="846" w:type="dxa"/>
                  <w:vMerge w:val="continue"/>
                  <w:noWrap w:val="0"/>
                  <w:vAlign w:val="center"/>
                </w:tcPr>
                <w:p w14:paraId="2A52CA91">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noWrap w:val="0"/>
                  <w:vAlign w:val="center"/>
                </w:tcPr>
                <w:p w14:paraId="1AB519B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57" w:type="dxa"/>
                  <w:noWrap w:val="0"/>
                  <w:vAlign w:val="center"/>
                </w:tcPr>
                <w:p w14:paraId="76D9E6D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SW17</w:t>
                  </w:r>
                </w:p>
              </w:tc>
              <w:tc>
                <w:tcPr>
                  <w:tcW w:w="1336" w:type="dxa"/>
                  <w:noWrap w:val="0"/>
                  <w:vAlign w:val="center"/>
                </w:tcPr>
                <w:p w14:paraId="22915E6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900-003-S17</w:t>
                  </w:r>
                </w:p>
              </w:tc>
              <w:tc>
                <w:tcPr>
                  <w:tcW w:w="980" w:type="dxa"/>
                  <w:shd w:val="clear" w:color="auto" w:fill="auto"/>
                  <w:noWrap w:val="0"/>
                  <w:vAlign w:val="center"/>
                </w:tcPr>
                <w:p w14:paraId="0F86B7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514" w:type="dxa"/>
                  <w:vMerge w:val="restart"/>
                  <w:noWrap w:val="0"/>
                  <w:vAlign w:val="center"/>
                </w:tcPr>
                <w:p w14:paraId="2F3A8C3A">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外售综合利用</w:t>
                  </w:r>
                </w:p>
              </w:tc>
            </w:tr>
            <w:tr w14:paraId="0F7F4D2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1AB97F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657" w:type="dxa"/>
                  <w:noWrap w:val="0"/>
                  <w:vAlign w:val="center"/>
                </w:tcPr>
                <w:p w14:paraId="348A0D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废包装袋</w:t>
                  </w:r>
                </w:p>
              </w:tc>
              <w:tc>
                <w:tcPr>
                  <w:tcW w:w="427" w:type="dxa"/>
                  <w:vMerge w:val="continue"/>
                  <w:noWrap w:val="0"/>
                  <w:vAlign w:val="center"/>
                </w:tcPr>
                <w:p w14:paraId="2785DAA5">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0132406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包装材料</w:t>
                  </w:r>
                </w:p>
              </w:tc>
              <w:tc>
                <w:tcPr>
                  <w:tcW w:w="841" w:type="dxa"/>
                  <w:shd w:val="clear" w:color="auto" w:fill="auto"/>
                  <w:noWrap w:val="0"/>
                  <w:vAlign w:val="center"/>
                </w:tcPr>
                <w:p w14:paraId="2CCDCB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28D4F4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废塑料</w:t>
                  </w:r>
                </w:p>
              </w:tc>
              <w:tc>
                <w:tcPr>
                  <w:tcW w:w="846" w:type="dxa"/>
                  <w:vMerge w:val="continue"/>
                  <w:noWrap w:val="0"/>
                  <w:vAlign w:val="center"/>
                </w:tcPr>
                <w:p w14:paraId="47B32DE1">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noWrap w:val="0"/>
                  <w:vAlign w:val="center"/>
                </w:tcPr>
                <w:p w14:paraId="41FC16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57" w:type="dxa"/>
                  <w:shd w:val="clear" w:color="auto" w:fill="auto"/>
                  <w:noWrap w:val="0"/>
                  <w:vAlign w:val="center"/>
                </w:tcPr>
                <w:p w14:paraId="3340800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SW17</w:t>
                  </w:r>
                </w:p>
              </w:tc>
              <w:tc>
                <w:tcPr>
                  <w:tcW w:w="1336" w:type="dxa"/>
                  <w:shd w:val="clear" w:color="auto" w:fill="auto"/>
                  <w:noWrap w:val="0"/>
                  <w:vAlign w:val="center"/>
                </w:tcPr>
                <w:p w14:paraId="0E8181D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900-003-S17</w:t>
                  </w:r>
                </w:p>
              </w:tc>
              <w:tc>
                <w:tcPr>
                  <w:tcW w:w="980" w:type="dxa"/>
                  <w:shd w:val="clear" w:color="auto" w:fill="auto"/>
                  <w:noWrap w:val="0"/>
                  <w:vAlign w:val="center"/>
                </w:tcPr>
                <w:p w14:paraId="3AC737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514" w:type="dxa"/>
                  <w:vMerge w:val="continue"/>
                  <w:noWrap w:val="0"/>
                  <w:vAlign w:val="center"/>
                </w:tcPr>
                <w:p w14:paraId="1D753C40">
                  <w:pPr>
                    <w:spacing w:line="240" w:lineRule="auto"/>
                    <w:ind w:firstLine="0" w:firstLineChars="0"/>
                    <w:jc w:val="center"/>
                    <w:rPr>
                      <w:rFonts w:hint="default" w:ascii="Times New Roman" w:hAnsi="Times New Roman" w:eastAsia="宋体" w:cs="Times New Roman"/>
                      <w:color w:val="auto"/>
                      <w:sz w:val="21"/>
                      <w:szCs w:val="21"/>
                    </w:rPr>
                  </w:pPr>
                </w:p>
              </w:tc>
            </w:tr>
            <w:tr w14:paraId="403EDC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6761E8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657" w:type="dxa"/>
                  <w:noWrap w:val="0"/>
                  <w:vAlign w:val="center"/>
                </w:tcPr>
                <w:p w14:paraId="5FBEAD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废布袋</w:t>
                  </w:r>
                </w:p>
              </w:tc>
              <w:tc>
                <w:tcPr>
                  <w:tcW w:w="427" w:type="dxa"/>
                  <w:vMerge w:val="continue"/>
                  <w:noWrap w:val="0"/>
                  <w:vAlign w:val="center"/>
                </w:tcPr>
                <w:p w14:paraId="1CE1BC2D">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0FB02B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841" w:type="dxa"/>
                  <w:shd w:val="clear" w:color="auto" w:fill="auto"/>
                  <w:noWrap w:val="0"/>
                  <w:vAlign w:val="center"/>
                </w:tcPr>
                <w:p w14:paraId="06CA5A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固态</w:t>
                  </w:r>
                </w:p>
              </w:tc>
              <w:tc>
                <w:tcPr>
                  <w:tcW w:w="823" w:type="dxa"/>
                  <w:shd w:val="clear" w:color="auto" w:fill="auto"/>
                  <w:noWrap w:val="0"/>
                  <w:vAlign w:val="center"/>
                </w:tcPr>
                <w:p w14:paraId="4EB388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布袋、塑料</w:t>
                  </w:r>
                </w:p>
              </w:tc>
              <w:tc>
                <w:tcPr>
                  <w:tcW w:w="846" w:type="dxa"/>
                  <w:vMerge w:val="continue"/>
                  <w:noWrap w:val="0"/>
                  <w:vAlign w:val="center"/>
                </w:tcPr>
                <w:p w14:paraId="4D80CAC9">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noWrap w:val="0"/>
                  <w:vAlign w:val="center"/>
                </w:tcPr>
                <w:p w14:paraId="7F36BA8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57" w:type="dxa"/>
                  <w:shd w:val="clear" w:color="auto" w:fill="auto"/>
                  <w:noWrap w:val="0"/>
                  <w:vAlign w:val="center"/>
                </w:tcPr>
                <w:p w14:paraId="77A8FEB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SW59</w:t>
                  </w:r>
                </w:p>
              </w:tc>
              <w:tc>
                <w:tcPr>
                  <w:tcW w:w="1336" w:type="dxa"/>
                  <w:shd w:val="clear" w:color="auto" w:fill="auto"/>
                  <w:noWrap w:val="0"/>
                  <w:vAlign w:val="center"/>
                </w:tcPr>
                <w:p w14:paraId="5EBD286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900-009-S59</w:t>
                  </w:r>
                </w:p>
              </w:tc>
              <w:tc>
                <w:tcPr>
                  <w:tcW w:w="980" w:type="dxa"/>
                  <w:shd w:val="clear" w:color="auto" w:fill="auto"/>
                  <w:noWrap w:val="0"/>
                  <w:vAlign w:val="center"/>
                </w:tcPr>
                <w:p w14:paraId="2F0BD8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w:t>
                  </w:r>
                </w:p>
              </w:tc>
              <w:tc>
                <w:tcPr>
                  <w:tcW w:w="514" w:type="dxa"/>
                  <w:vMerge w:val="continue"/>
                  <w:noWrap w:val="0"/>
                  <w:vAlign w:val="center"/>
                </w:tcPr>
                <w:p w14:paraId="65B21F06">
                  <w:pPr>
                    <w:spacing w:line="240" w:lineRule="auto"/>
                    <w:ind w:firstLine="0" w:firstLineChars="0"/>
                    <w:jc w:val="center"/>
                    <w:rPr>
                      <w:rFonts w:hint="default" w:ascii="Times New Roman" w:hAnsi="Times New Roman" w:eastAsia="宋体" w:cs="Times New Roman"/>
                      <w:color w:val="auto"/>
                      <w:sz w:val="21"/>
                      <w:szCs w:val="21"/>
                    </w:rPr>
                  </w:pPr>
                </w:p>
              </w:tc>
            </w:tr>
            <w:tr w14:paraId="31537A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7B89D3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657" w:type="dxa"/>
                  <w:noWrap w:val="0"/>
                  <w:vAlign w:val="center"/>
                </w:tcPr>
                <w:p w14:paraId="4A222F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收集粉尘</w:t>
                  </w:r>
                </w:p>
              </w:tc>
              <w:tc>
                <w:tcPr>
                  <w:tcW w:w="427" w:type="dxa"/>
                  <w:vMerge w:val="continue"/>
                  <w:noWrap w:val="0"/>
                  <w:vAlign w:val="center"/>
                </w:tcPr>
                <w:p w14:paraId="5549D9DC">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7FFA6E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841" w:type="dxa"/>
                  <w:shd w:val="clear" w:color="auto" w:fill="auto"/>
                  <w:noWrap w:val="0"/>
                  <w:vAlign w:val="center"/>
                </w:tcPr>
                <w:p w14:paraId="7490E7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7A440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PVC、碳酸钙、钙锌热稳定剂、色母</w:t>
                  </w:r>
                </w:p>
              </w:tc>
              <w:tc>
                <w:tcPr>
                  <w:tcW w:w="846" w:type="dxa"/>
                  <w:vMerge w:val="continue"/>
                  <w:noWrap w:val="0"/>
                  <w:vAlign w:val="center"/>
                </w:tcPr>
                <w:p w14:paraId="4C15A2E6">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noWrap w:val="0"/>
                  <w:vAlign w:val="center"/>
                </w:tcPr>
                <w:p w14:paraId="1B9DAB4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57" w:type="dxa"/>
                  <w:noWrap w:val="0"/>
                  <w:vAlign w:val="center"/>
                </w:tcPr>
                <w:p w14:paraId="220D7AA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SW59</w:t>
                  </w:r>
                </w:p>
              </w:tc>
              <w:tc>
                <w:tcPr>
                  <w:tcW w:w="1336" w:type="dxa"/>
                  <w:noWrap w:val="0"/>
                  <w:vAlign w:val="center"/>
                </w:tcPr>
                <w:p w14:paraId="01B0A13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900-099-S59</w:t>
                  </w:r>
                </w:p>
              </w:tc>
              <w:tc>
                <w:tcPr>
                  <w:tcW w:w="980" w:type="dxa"/>
                  <w:shd w:val="clear" w:color="auto" w:fill="auto"/>
                  <w:noWrap w:val="0"/>
                  <w:vAlign w:val="center"/>
                </w:tcPr>
                <w:p w14:paraId="3CAA57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0.04</w:t>
                  </w:r>
                </w:p>
              </w:tc>
              <w:tc>
                <w:tcPr>
                  <w:tcW w:w="514" w:type="dxa"/>
                  <w:noWrap w:val="0"/>
                  <w:vAlign w:val="center"/>
                </w:tcPr>
                <w:p w14:paraId="2FFD96E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回用于生产</w:t>
                  </w:r>
                </w:p>
              </w:tc>
            </w:tr>
            <w:tr w14:paraId="2684F7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35C320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657" w:type="dxa"/>
                  <w:noWrap w:val="0"/>
                  <w:vAlign w:val="center"/>
                </w:tcPr>
                <w:p w14:paraId="6B91A31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废齿轮油</w:t>
                  </w:r>
                </w:p>
              </w:tc>
              <w:tc>
                <w:tcPr>
                  <w:tcW w:w="427" w:type="dxa"/>
                  <w:vMerge w:val="restart"/>
                  <w:noWrap w:val="0"/>
                  <w:vAlign w:val="center"/>
                </w:tcPr>
                <w:p w14:paraId="52DAE717">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871" w:type="dxa"/>
                  <w:shd w:val="clear" w:color="auto" w:fill="auto"/>
                  <w:noWrap w:val="0"/>
                  <w:vAlign w:val="center"/>
                </w:tcPr>
                <w:p w14:paraId="65F61C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841" w:type="dxa"/>
                  <w:shd w:val="clear" w:color="auto" w:fill="auto"/>
                  <w:noWrap w:val="0"/>
                  <w:vAlign w:val="center"/>
                </w:tcPr>
                <w:p w14:paraId="4DB64B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液态</w:t>
                  </w:r>
                </w:p>
              </w:tc>
              <w:tc>
                <w:tcPr>
                  <w:tcW w:w="823" w:type="dxa"/>
                  <w:shd w:val="clear" w:color="auto" w:fill="auto"/>
                  <w:noWrap w:val="0"/>
                  <w:vAlign w:val="center"/>
                </w:tcPr>
                <w:p w14:paraId="361803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矿物油</w:t>
                  </w:r>
                </w:p>
              </w:tc>
              <w:tc>
                <w:tcPr>
                  <w:tcW w:w="846" w:type="dxa"/>
                  <w:vMerge w:val="restart"/>
                  <w:noWrap w:val="0"/>
                  <w:vAlign w:val="center"/>
                </w:tcPr>
                <w:p w14:paraId="3FEB04D8">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《国家危险废物名录》（202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w:t>
                  </w:r>
                </w:p>
              </w:tc>
              <w:tc>
                <w:tcPr>
                  <w:tcW w:w="694" w:type="dxa"/>
                  <w:noWrap w:val="0"/>
                  <w:vAlign w:val="center"/>
                </w:tcPr>
                <w:p w14:paraId="5F514D2C">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T</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I</w:t>
                  </w:r>
                </w:p>
              </w:tc>
              <w:tc>
                <w:tcPr>
                  <w:tcW w:w="1157" w:type="dxa"/>
                  <w:noWrap w:val="0"/>
                  <w:vAlign w:val="center"/>
                </w:tcPr>
                <w:p w14:paraId="0828C4B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1336" w:type="dxa"/>
                  <w:noWrap w:val="0"/>
                  <w:vAlign w:val="center"/>
                </w:tcPr>
                <w:p w14:paraId="29F36A5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900-217-08</w:t>
                  </w:r>
                </w:p>
              </w:tc>
              <w:tc>
                <w:tcPr>
                  <w:tcW w:w="980" w:type="dxa"/>
                  <w:shd w:val="clear" w:color="auto" w:fill="auto"/>
                  <w:noWrap w:val="0"/>
                  <w:vAlign w:val="center"/>
                </w:tcPr>
                <w:p w14:paraId="4E0708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514" w:type="dxa"/>
                  <w:vMerge w:val="restart"/>
                  <w:noWrap w:val="0"/>
                  <w:vAlign w:val="center"/>
                </w:tcPr>
                <w:p w14:paraId="33C564B6">
                  <w:pPr>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委托有资质的单位处置</w:t>
                  </w:r>
                </w:p>
              </w:tc>
            </w:tr>
            <w:tr w14:paraId="2F4C07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111F3B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657" w:type="dxa"/>
                  <w:noWrap w:val="0"/>
                  <w:vAlign w:val="center"/>
                </w:tcPr>
                <w:p w14:paraId="0E91625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冷却废液</w:t>
                  </w:r>
                </w:p>
              </w:tc>
              <w:tc>
                <w:tcPr>
                  <w:tcW w:w="427" w:type="dxa"/>
                  <w:vMerge w:val="continue"/>
                  <w:noWrap w:val="0"/>
                  <w:vAlign w:val="center"/>
                </w:tcPr>
                <w:p w14:paraId="2304AF3D">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5208B3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w:t>
                  </w:r>
                </w:p>
              </w:tc>
              <w:tc>
                <w:tcPr>
                  <w:tcW w:w="841" w:type="dxa"/>
                  <w:shd w:val="clear" w:color="auto" w:fill="auto"/>
                  <w:noWrap w:val="0"/>
                  <w:vAlign w:val="center"/>
                </w:tcPr>
                <w:p w14:paraId="7D09F3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液态</w:t>
                  </w:r>
                </w:p>
              </w:tc>
              <w:tc>
                <w:tcPr>
                  <w:tcW w:w="823" w:type="dxa"/>
                  <w:shd w:val="clear" w:color="auto" w:fill="auto"/>
                  <w:noWrap w:val="0"/>
                  <w:vAlign w:val="center"/>
                </w:tcPr>
                <w:p w14:paraId="582722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水、杂质</w:t>
                  </w:r>
                </w:p>
              </w:tc>
              <w:tc>
                <w:tcPr>
                  <w:tcW w:w="846" w:type="dxa"/>
                  <w:vMerge w:val="continue"/>
                  <w:noWrap w:val="0"/>
                  <w:vAlign w:val="center"/>
                </w:tcPr>
                <w:p w14:paraId="2D1806C4">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shd w:val="clear" w:color="auto" w:fill="auto"/>
                  <w:noWrap w:val="0"/>
                  <w:vAlign w:val="center"/>
                </w:tcPr>
                <w:p w14:paraId="7936C858">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1157" w:type="dxa"/>
                  <w:shd w:val="clear" w:color="auto" w:fill="auto"/>
                  <w:noWrap w:val="0"/>
                  <w:vAlign w:val="center"/>
                </w:tcPr>
                <w:p w14:paraId="217BB16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1336" w:type="dxa"/>
                  <w:shd w:val="clear" w:color="auto" w:fill="auto"/>
                  <w:noWrap w:val="0"/>
                  <w:vAlign w:val="center"/>
                </w:tcPr>
                <w:p w14:paraId="64D746C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980" w:type="dxa"/>
                  <w:shd w:val="clear" w:color="auto" w:fill="auto"/>
                  <w:noWrap w:val="0"/>
                  <w:vAlign w:val="center"/>
                </w:tcPr>
                <w:p w14:paraId="5F21AD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514" w:type="dxa"/>
                  <w:vMerge w:val="continue"/>
                  <w:noWrap w:val="0"/>
                  <w:vAlign w:val="center"/>
                </w:tcPr>
                <w:p w14:paraId="622C48B1">
                  <w:pPr>
                    <w:spacing w:line="240" w:lineRule="auto"/>
                    <w:ind w:firstLine="0" w:firstLineChars="0"/>
                    <w:jc w:val="center"/>
                    <w:rPr>
                      <w:rFonts w:hint="default" w:ascii="Times New Roman" w:hAnsi="Times New Roman" w:eastAsia="宋体" w:cs="Times New Roman"/>
                      <w:color w:val="auto"/>
                      <w:sz w:val="21"/>
                      <w:szCs w:val="21"/>
                    </w:rPr>
                  </w:pPr>
                </w:p>
              </w:tc>
            </w:tr>
            <w:tr w14:paraId="667ABB9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013DB5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p>
              </w:tc>
              <w:tc>
                <w:tcPr>
                  <w:tcW w:w="657" w:type="dxa"/>
                  <w:noWrap w:val="0"/>
                  <w:vAlign w:val="center"/>
                </w:tcPr>
                <w:p w14:paraId="1751316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color w:val="auto"/>
                      <w:sz w:val="21"/>
                      <w:szCs w:val="21"/>
                      <w:highlight w:val="none"/>
                      <w:lang w:val="en-US" w:eastAsia="zh-CN"/>
                    </w:rPr>
                    <w:t>废包装桶</w:t>
                  </w:r>
                </w:p>
              </w:tc>
              <w:tc>
                <w:tcPr>
                  <w:tcW w:w="427" w:type="dxa"/>
                  <w:vMerge w:val="continue"/>
                  <w:noWrap w:val="0"/>
                  <w:vAlign w:val="center"/>
                </w:tcPr>
                <w:p w14:paraId="4417AA78">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625ACA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包装材料</w:t>
                  </w:r>
                </w:p>
              </w:tc>
              <w:tc>
                <w:tcPr>
                  <w:tcW w:w="841" w:type="dxa"/>
                  <w:shd w:val="clear" w:color="auto" w:fill="auto"/>
                  <w:noWrap w:val="0"/>
                  <w:vAlign w:val="center"/>
                </w:tcPr>
                <w:p w14:paraId="318A1F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4854CC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金属、矿物油</w:t>
                  </w:r>
                  <w:r>
                    <w:rPr>
                      <w:rFonts w:hint="eastAsia" w:cs="Times New Roman"/>
                      <w:color w:val="auto"/>
                      <w:sz w:val="21"/>
                      <w:szCs w:val="21"/>
                      <w:lang w:val="en-US" w:eastAsia="zh-CN"/>
                    </w:rPr>
                    <w:t>、植物油</w:t>
                  </w:r>
                </w:p>
              </w:tc>
              <w:tc>
                <w:tcPr>
                  <w:tcW w:w="846" w:type="dxa"/>
                  <w:vMerge w:val="continue"/>
                  <w:shd w:val="clear" w:color="auto" w:fill="auto"/>
                  <w:noWrap w:val="0"/>
                  <w:vAlign w:val="center"/>
                </w:tcPr>
                <w:p w14:paraId="1F4D9C02">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p>
              </w:tc>
              <w:tc>
                <w:tcPr>
                  <w:tcW w:w="694" w:type="dxa"/>
                  <w:shd w:val="clear" w:color="auto" w:fill="auto"/>
                  <w:noWrap w:val="0"/>
                  <w:vAlign w:val="center"/>
                </w:tcPr>
                <w:p w14:paraId="3FA2A831">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1157" w:type="dxa"/>
                  <w:shd w:val="clear" w:color="auto" w:fill="auto"/>
                  <w:noWrap w:val="0"/>
                  <w:vAlign w:val="center"/>
                </w:tcPr>
                <w:p w14:paraId="456B5A5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1336" w:type="dxa"/>
                  <w:shd w:val="clear" w:color="auto" w:fill="auto"/>
                  <w:noWrap w:val="0"/>
                  <w:vAlign w:val="center"/>
                </w:tcPr>
                <w:p w14:paraId="531325D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900-041-49</w:t>
                  </w:r>
                </w:p>
              </w:tc>
              <w:tc>
                <w:tcPr>
                  <w:tcW w:w="980" w:type="dxa"/>
                  <w:shd w:val="clear" w:color="auto" w:fill="auto"/>
                  <w:noWrap w:val="0"/>
                  <w:vAlign w:val="center"/>
                </w:tcPr>
                <w:p w14:paraId="5D1CCA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w:t>
                  </w:r>
                </w:p>
              </w:tc>
              <w:tc>
                <w:tcPr>
                  <w:tcW w:w="514" w:type="dxa"/>
                  <w:vMerge w:val="continue"/>
                  <w:noWrap w:val="0"/>
                  <w:vAlign w:val="center"/>
                </w:tcPr>
                <w:p w14:paraId="4258D0A9">
                  <w:pPr>
                    <w:spacing w:line="240" w:lineRule="auto"/>
                    <w:ind w:firstLine="0" w:firstLineChars="0"/>
                    <w:jc w:val="center"/>
                    <w:rPr>
                      <w:rFonts w:hint="default" w:ascii="Times New Roman" w:hAnsi="Times New Roman" w:eastAsia="宋体" w:cs="Times New Roman"/>
                      <w:color w:val="auto"/>
                      <w:sz w:val="21"/>
                      <w:szCs w:val="21"/>
                    </w:rPr>
                  </w:pPr>
                </w:p>
              </w:tc>
            </w:tr>
            <w:tr w14:paraId="2C24FE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7262E1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657" w:type="dxa"/>
                  <w:noWrap w:val="0"/>
                  <w:vAlign w:val="center"/>
                </w:tcPr>
                <w:p w14:paraId="5A1AA20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p>
              </w:tc>
              <w:tc>
                <w:tcPr>
                  <w:tcW w:w="427" w:type="dxa"/>
                  <w:vMerge w:val="continue"/>
                  <w:noWrap w:val="0"/>
                  <w:vAlign w:val="center"/>
                </w:tcPr>
                <w:p w14:paraId="799D368A">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1AAFB5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841" w:type="dxa"/>
                  <w:shd w:val="clear" w:color="auto" w:fill="auto"/>
                  <w:noWrap w:val="0"/>
                  <w:vAlign w:val="center"/>
                </w:tcPr>
                <w:p w14:paraId="600AB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0E4564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活性炭、有机物</w:t>
                  </w:r>
                </w:p>
              </w:tc>
              <w:tc>
                <w:tcPr>
                  <w:tcW w:w="846" w:type="dxa"/>
                  <w:vMerge w:val="continue"/>
                  <w:noWrap w:val="0"/>
                  <w:vAlign w:val="center"/>
                </w:tcPr>
                <w:p w14:paraId="2688D3D9">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shd w:val="clear" w:color="auto" w:fill="auto"/>
                  <w:noWrap w:val="0"/>
                  <w:vAlign w:val="center"/>
                </w:tcPr>
                <w:p w14:paraId="1F87276A">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p>
              </w:tc>
              <w:tc>
                <w:tcPr>
                  <w:tcW w:w="1157" w:type="dxa"/>
                  <w:shd w:val="clear" w:color="auto" w:fill="auto"/>
                  <w:noWrap w:val="0"/>
                  <w:vAlign w:val="center"/>
                </w:tcPr>
                <w:p w14:paraId="1F0A21C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1336" w:type="dxa"/>
                  <w:shd w:val="clear" w:color="auto" w:fill="auto"/>
                  <w:noWrap w:val="0"/>
                  <w:vAlign w:val="center"/>
                </w:tcPr>
                <w:p w14:paraId="580746A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900-039-49</w:t>
                  </w:r>
                </w:p>
              </w:tc>
              <w:tc>
                <w:tcPr>
                  <w:tcW w:w="980" w:type="dxa"/>
                  <w:shd w:val="clear" w:color="auto" w:fill="auto"/>
                  <w:noWrap w:val="0"/>
                  <w:vAlign w:val="center"/>
                </w:tcPr>
                <w:p w14:paraId="493704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2.6</w:t>
                  </w:r>
                </w:p>
              </w:tc>
              <w:tc>
                <w:tcPr>
                  <w:tcW w:w="514" w:type="dxa"/>
                  <w:vMerge w:val="continue"/>
                  <w:noWrap w:val="0"/>
                  <w:vAlign w:val="center"/>
                </w:tcPr>
                <w:p w14:paraId="3EBE2A31">
                  <w:pPr>
                    <w:spacing w:line="240" w:lineRule="auto"/>
                    <w:ind w:firstLine="0" w:firstLineChars="0"/>
                    <w:jc w:val="center"/>
                    <w:rPr>
                      <w:rFonts w:hint="default" w:ascii="Times New Roman" w:hAnsi="Times New Roman" w:eastAsia="宋体" w:cs="Times New Roman"/>
                      <w:color w:val="auto"/>
                      <w:sz w:val="21"/>
                      <w:szCs w:val="21"/>
                    </w:rPr>
                  </w:pPr>
                </w:p>
              </w:tc>
            </w:tr>
            <w:tr w14:paraId="2CF9094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78E245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657" w:type="dxa"/>
                  <w:noWrap w:val="0"/>
                  <w:vAlign w:val="center"/>
                </w:tcPr>
                <w:p w14:paraId="02CC492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废抹布手套</w:t>
                  </w:r>
                </w:p>
              </w:tc>
              <w:tc>
                <w:tcPr>
                  <w:tcW w:w="427" w:type="dxa"/>
                  <w:vMerge w:val="continue"/>
                  <w:noWrap w:val="0"/>
                  <w:vAlign w:val="center"/>
                </w:tcPr>
                <w:p w14:paraId="66DDC450">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000666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841" w:type="dxa"/>
                  <w:shd w:val="clear" w:color="auto" w:fill="auto"/>
                  <w:noWrap w:val="0"/>
                  <w:vAlign w:val="center"/>
                </w:tcPr>
                <w:p w14:paraId="714573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3080A5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棉、矿物油</w:t>
                  </w:r>
                </w:p>
              </w:tc>
              <w:tc>
                <w:tcPr>
                  <w:tcW w:w="846" w:type="dxa"/>
                  <w:vMerge w:val="continue"/>
                  <w:noWrap w:val="0"/>
                  <w:vAlign w:val="center"/>
                </w:tcPr>
                <w:p w14:paraId="171A6C30">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shd w:val="clear" w:color="auto" w:fill="auto"/>
                  <w:noWrap w:val="0"/>
                  <w:vAlign w:val="center"/>
                </w:tcPr>
                <w:p w14:paraId="21BCE40F">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1157" w:type="dxa"/>
                  <w:shd w:val="clear" w:color="auto" w:fill="auto"/>
                  <w:noWrap w:val="0"/>
                  <w:vAlign w:val="center"/>
                </w:tcPr>
                <w:p w14:paraId="3351D17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1336" w:type="dxa"/>
                  <w:shd w:val="clear" w:color="auto" w:fill="auto"/>
                  <w:noWrap w:val="0"/>
                  <w:vAlign w:val="center"/>
                </w:tcPr>
                <w:p w14:paraId="1EDF009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980" w:type="dxa"/>
                  <w:shd w:val="clear" w:color="auto" w:fill="auto"/>
                  <w:noWrap w:val="0"/>
                  <w:vAlign w:val="center"/>
                </w:tcPr>
                <w:p w14:paraId="3A2038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514" w:type="dxa"/>
                  <w:vMerge w:val="continue"/>
                  <w:noWrap w:val="0"/>
                  <w:vAlign w:val="center"/>
                </w:tcPr>
                <w:p w14:paraId="7FCACE81">
                  <w:pPr>
                    <w:spacing w:line="240" w:lineRule="auto"/>
                    <w:ind w:firstLine="0" w:firstLineChars="0"/>
                    <w:jc w:val="center"/>
                    <w:rPr>
                      <w:rFonts w:hint="default" w:ascii="Times New Roman" w:hAnsi="Times New Roman" w:eastAsia="宋体" w:cs="Times New Roman"/>
                      <w:color w:val="auto"/>
                      <w:sz w:val="21"/>
                      <w:szCs w:val="21"/>
                    </w:rPr>
                  </w:pPr>
                </w:p>
              </w:tc>
            </w:tr>
            <w:tr w14:paraId="4F8F15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52CBD4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w:t>
                  </w:r>
                </w:p>
              </w:tc>
              <w:tc>
                <w:tcPr>
                  <w:tcW w:w="657" w:type="dxa"/>
                  <w:shd w:val="clear" w:color="auto" w:fill="auto"/>
                  <w:noWrap w:val="0"/>
                  <w:vAlign w:val="center"/>
                </w:tcPr>
                <w:p w14:paraId="346FF0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沾染含大豆油的废布袋</w:t>
                  </w:r>
                </w:p>
              </w:tc>
              <w:tc>
                <w:tcPr>
                  <w:tcW w:w="427" w:type="dxa"/>
                  <w:vMerge w:val="continue"/>
                  <w:noWrap w:val="0"/>
                  <w:vAlign w:val="center"/>
                </w:tcPr>
                <w:p w14:paraId="54190FE9">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4B19C9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841" w:type="dxa"/>
                  <w:shd w:val="clear" w:color="auto" w:fill="auto"/>
                  <w:noWrap w:val="0"/>
                  <w:vAlign w:val="center"/>
                </w:tcPr>
                <w:p w14:paraId="47727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固态</w:t>
                  </w:r>
                </w:p>
              </w:tc>
              <w:tc>
                <w:tcPr>
                  <w:tcW w:w="823" w:type="dxa"/>
                  <w:shd w:val="clear" w:color="auto" w:fill="auto"/>
                  <w:noWrap w:val="0"/>
                  <w:vAlign w:val="center"/>
                </w:tcPr>
                <w:p w14:paraId="37B131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布袋、</w:t>
                  </w:r>
                  <w:r>
                    <w:rPr>
                      <w:rFonts w:hint="eastAsia" w:cs="Times New Roman"/>
                      <w:color w:val="auto"/>
                      <w:sz w:val="21"/>
                      <w:szCs w:val="21"/>
                      <w:lang w:val="en-US" w:eastAsia="zh-CN"/>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846" w:type="dxa"/>
                  <w:vMerge w:val="continue"/>
                  <w:noWrap w:val="0"/>
                  <w:vAlign w:val="center"/>
                </w:tcPr>
                <w:p w14:paraId="23508BFA">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shd w:val="clear" w:color="auto" w:fill="auto"/>
                  <w:noWrap w:val="0"/>
                  <w:vAlign w:val="center"/>
                </w:tcPr>
                <w:p w14:paraId="7FB15036">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1157" w:type="dxa"/>
                  <w:shd w:val="clear" w:color="auto" w:fill="auto"/>
                  <w:noWrap w:val="0"/>
                  <w:vAlign w:val="center"/>
                </w:tcPr>
                <w:p w14:paraId="5CDCE4D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1336" w:type="dxa"/>
                  <w:shd w:val="clear" w:color="auto" w:fill="auto"/>
                  <w:noWrap w:val="0"/>
                  <w:vAlign w:val="center"/>
                </w:tcPr>
                <w:p w14:paraId="4F36617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980" w:type="dxa"/>
                  <w:shd w:val="clear" w:color="auto" w:fill="auto"/>
                  <w:noWrap w:val="0"/>
                  <w:vAlign w:val="center"/>
                </w:tcPr>
                <w:p w14:paraId="6A9DD3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514" w:type="dxa"/>
                  <w:vMerge w:val="continue"/>
                  <w:noWrap w:val="0"/>
                  <w:vAlign w:val="center"/>
                </w:tcPr>
                <w:p w14:paraId="66CFF7CB">
                  <w:pPr>
                    <w:spacing w:line="240" w:lineRule="auto"/>
                    <w:ind w:firstLine="0" w:firstLineChars="0"/>
                    <w:jc w:val="center"/>
                    <w:rPr>
                      <w:rFonts w:hint="default" w:ascii="Times New Roman" w:hAnsi="Times New Roman" w:eastAsia="宋体" w:cs="Times New Roman"/>
                      <w:color w:val="auto"/>
                      <w:sz w:val="21"/>
                      <w:szCs w:val="21"/>
                    </w:rPr>
                  </w:pPr>
                </w:p>
              </w:tc>
            </w:tr>
            <w:tr w14:paraId="73321D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0DD12F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w:t>
                  </w:r>
                </w:p>
              </w:tc>
              <w:tc>
                <w:tcPr>
                  <w:tcW w:w="657" w:type="dxa"/>
                  <w:shd w:val="clear" w:color="auto" w:fill="auto"/>
                  <w:noWrap w:val="0"/>
                  <w:vAlign w:val="center"/>
                </w:tcPr>
                <w:p w14:paraId="107180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油泥</w:t>
                  </w:r>
                </w:p>
              </w:tc>
              <w:tc>
                <w:tcPr>
                  <w:tcW w:w="427" w:type="dxa"/>
                  <w:vMerge w:val="continue"/>
                  <w:noWrap w:val="0"/>
                  <w:vAlign w:val="center"/>
                </w:tcPr>
                <w:p w14:paraId="08AFE2BD">
                  <w:pPr>
                    <w:spacing w:line="240" w:lineRule="auto"/>
                    <w:ind w:firstLine="0" w:firstLineChars="0"/>
                    <w:jc w:val="center"/>
                    <w:rPr>
                      <w:rFonts w:hint="default" w:ascii="Times New Roman" w:hAnsi="Times New Roman" w:eastAsia="宋体" w:cs="Times New Roman"/>
                      <w:color w:val="auto"/>
                      <w:sz w:val="21"/>
                      <w:szCs w:val="21"/>
                    </w:rPr>
                  </w:pPr>
                </w:p>
              </w:tc>
              <w:tc>
                <w:tcPr>
                  <w:tcW w:w="871" w:type="dxa"/>
                  <w:shd w:val="clear" w:color="auto" w:fill="auto"/>
                  <w:noWrap w:val="0"/>
                  <w:vAlign w:val="center"/>
                </w:tcPr>
                <w:p w14:paraId="0AB494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841" w:type="dxa"/>
                  <w:shd w:val="clear" w:color="auto" w:fill="auto"/>
                  <w:noWrap w:val="0"/>
                  <w:vAlign w:val="center"/>
                </w:tcPr>
                <w:p w14:paraId="20B061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823" w:type="dxa"/>
                  <w:shd w:val="clear" w:color="auto" w:fill="auto"/>
                  <w:noWrap w:val="0"/>
                  <w:vAlign w:val="center"/>
                </w:tcPr>
                <w:p w14:paraId="719C8C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846" w:type="dxa"/>
                  <w:vMerge w:val="continue"/>
                  <w:noWrap w:val="0"/>
                  <w:vAlign w:val="center"/>
                </w:tcPr>
                <w:p w14:paraId="2118B33F">
                  <w:pPr>
                    <w:spacing w:line="240" w:lineRule="auto"/>
                    <w:ind w:firstLine="0" w:firstLineChars="0"/>
                    <w:jc w:val="center"/>
                    <w:rPr>
                      <w:rFonts w:hint="default" w:ascii="Times New Roman" w:hAnsi="Times New Roman" w:eastAsia="宋体" w:cs="Times New Roman"/>
                      <w:color w:val="auto"/>
                      <w:sz w:val="21"/>
                      <w:szCs w:val="21"/>
                    </w:rPr>
                  </w:pPr>
                </w:p>
              </w:tc>
              <w:tc>
                <w:tcPr>
                  <w:tcW w:w="694" w:type="dxa"/>
                  <w:shd w:val="clear" w:color="auto" w:fill="auto"/>
                  <w:noWrap w:val="0"/>
                  <w:vAlign w:val="center"/>
                </w:tcPr>
                <w:p w14:paraId="7AA9911F">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1157" w:type="dxa"/>
                  <w:shd w:val="clear" w:color="auto" w:fill="auto"/>
                  <w:noWrap w:val="0"/>
                  <w:vAlign w:val="center"/>
                </w:tcPr>
                <w:p w14:paraId="0333D89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1336" w:type="dxa"/>
                  <w:shd w:val="clear" w:color="auto" w:fill="auto"/>
                  <w:noWrap w:val="0"/>
                  <w:vAlign w:val="center"/>
                </w:tcPr>
                <w:p w14:paraId="5C3ADC7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980" w:type="dxa"/>
                  <w:shd w:val="clear" w:color="auto" w:fill="auto"/>
                  <w:noWrap w:val="0"/>
                  <w:vAlign w:val="center"/>
                </w:tcPr>
                <w:p w14:paraId="2E97D3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0.4</w:t>
                  </w:r>
                </w:p>
              </w:tc>
              <w:tc>
                <w:tcPr>
                  <w:tcW w:w="514" w:type="dxa"/>
                  <w:vMerge w:val="continue"/>
                  <w:noWrap w:val="0"/>
                  <w:vAlign w:val="center"/>
                </w:tcPr>
                <w:p w14:paraId="14960ED8">
                  <w:pPr>
                    <w:spacing w:line="240" w:lineRule="auto"/>
                    <w:ind w:firstLine="0" w:firstLineChars="0"/>
                    <w:jc w:val="center"/>
                    <w:rPr>
                      <w:rFonts w:hint="default" w:ascii="Times New Roman" w:hAnsi="Times New Roman" w:eastAsia="宋体" w:cs="Times New Roman"/>
                      <w:color w:val="auto"/>
                      <w:sz w:val="21"/>
                      <w:szCs w:val="21"/>
                    </w:rPr>
                  </w:pPr>
                </w:p>
              </w:tc>
            </w:tr>
            <w:tr w14:paraId="3C85AD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427" w:type="dxa"/>
                  <w:shd w:val="clear" w:color="auto" w:fill="auto"/>
                  <w:noWrap w:val="0"/>
                  <w:vAlign w:val="center"/>
                </w:tcPr>
                <w:p w14:paraId="2F01BD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13</w:t>
                  </w:r>
                </w:p>
              </w:tc>
              <w:tc>
                <w:tcPr>
                  <w:tcW w:w="657" w:type="dxa"/>
                  <w:noWrap w:val="0"/>
                  <w:vAlign w:val="center"/>
                </w:tcPr>
                <w:p w14:paraId="152BCEA6">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生活垃圾</w:t>
                  </w:r>
                </w:p>
              </w:tc>
              <w:tc>
                <w:tcPr>
                  <w:tcW w:w="427" w:type="dxa"/>
                  <w:noWrap w:val="0"/>
                  <w:vAlign w:val="center"/>
                </w:tcPr>
                <w:p w14:paraId="5BA4105D">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生活垃圾</w:t>
                  </w:r>
                </w:p>
              </w:tc>
              <w:tc>
                <w:tcPr>
                  <w:tcW w:w="871" w:type="dxa"/>
                  <w:noWrap w:val="0"/>
                  <w:vAlign w:val="center"/>
                </w:tcPr>
                <w:p w14:paraId="530ABFE6">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职工生活</w:t>
                  </w:r>
                </w:p>
              </w:tc>
              <w:tc>
                <w:tcPr>
                  <w:tcW w:w="841" w:type="dxa"/>
                  <w:noWrap w:val="0"/>
                  <w:vAlign w:val="center"/>
                </w:tcPr>
                <w:p w14:paraId="018B531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w:t>
                  </w:r>
                  <w:r>
                    <w:rPr>
                      <w:rFonts w:hint="default" w:ascii="Times New Roman" w:hAnsi="Times New Roman" w:eastAsia="宋体" w:cs="Times New Roman"/>
                      <w:color w:val="auto"/>
                      <w:sz w:val="21"/>
                      <w:szCs w:val="21"/>
                      <w:lang w:val="en-US" w:eastAsia="zh-CN"/>
                    </w:rPr>
                    <w:t>态</w:t>
                  </w:r>
                </w:p>
              </w:tc>
              <w:tc>
                <w:tcPr>
                  <w:tcW w:w="823" w:type="dxa"/>
                  <w:noWrap w:val="0"/>
                  <w:vAlign w:val="center"/>
                </w:tcPr>
                <w:p w14:paraId="759AB96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办公及生活废物</w:t>
                  </w:r>
                </w:p>
              </w:tc>
              <w:tc>
                <w:tcPr>
                  <w:tcW w:w="846" w:type="dxa"/>
                  <w:noWrap w:val="0"/>
                  <w:vAlign w:val="center"/>
                </w:tcPr>
                <w:p w14:paraId="27F9A17F">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《固体废物分类与代码目录》</w:t>
                  </w:r>
                </w:p>
              </w:tc>
              <w:tc>
                <w:tcPr>
                  <w:tcW w:w="694" w:type="dxa"/>
                  <w:noWrap w:val="0"/>
                  <w:vAlign w:val="center"/>
                </w:tcPr>
                <w:p w14:paraId="1CDACB28">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1157" w:type="dxa"/>
                  <w:noWrap w:val="0"/>
                  <w:vAlign w:val="center"/>
                </w:tcPr>
                <w:p w14:paraId="31981E7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SW64</w:t>
                  </w:r>
                </w:p>
              </w:tc>
              <w:tc>
                <w:tcPr>
                  <w:tcW w:w="1336" w:type="dxa"/>
                  <w:noWrap w:val="0"/>
                  <w:vAlign w:val="center"/>
                </w:tcPr>
                <w:p w14:paraId="5493F9E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900-099-S64</w:t>
                  </w:r>
                </w:p>
              </w:tc>
              <w:tc>
                <w:tcPr>
                  <w:tcW w:w="980" w:type="dxa"/>
                  <w:noWrap w:val="0"/>
                  <w:vAlign w:val="center"/>
                </w:tcPr>
                <w:p w14:paraId="01F7EEE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514" w:type="dxa"/>
                  <w:noWrap w:val="0"/>
                  <w:vAlign w:val="center"/>
                </w:tcPr>
                <w:p w14:paraId="4988B0C9">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环卫清运</w:t>
                  </w:r>
                </w:p>
              </w:tc>
            </w:tr>
          </w:tbl>
          <w:p w14:paraId="4B5D2F6E">
            <w:pPr>
              <w:widowControl/>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根据《建设项目危险废物环境影响评价指南》，项目危险废物的名称、数量、类别、形态、危险特性和污染防治措施等内容，详见下表。</w:t>
            </w:r>
          </w:p>
          <w:p w14:paraId="4ACB1789">
            <w:pPr>
              <w:snapToGrid w:val="0"/>
              <w:spacing w:line="240" w:lineRule="auto"/>
              <w:ind w:left="0" w:leftChars="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eastAsia="宋体" w:cs="Times New Roman"/>
                <w:b/>
                <w:color w:val="auto"/>
                <w:sz w:val="21"/>
                <w:szCs w:val="21"/>
                <w:lang w:val="en-US" w:eastAsia="zh-CN"/>
              </w:rPr>
              <w:t>.4</w:t>
            </w:r>
            <w:r>
              <w:rPr>
                <w:rFonts w:hint="default" w:ascii="Times New Roman" w:hAnsi="Times New Roman" w:eastAsia="宋体" w:cs="Times New Roman"/>
                <w:b/>
                <w:color w:val="auto"/>
                <w:sz w:val="21"/>
                <w:szCs w:val="21"/>
              </w:rPr>
              <w:t>-</w:t>
            </w:r>
            <w:r>
              <w:rPr>
                <w:rFonts w:hint="default" w:ascii="Times New Roman" w:hAnsi="Times New Roman" w:eastAsia="宋体" w:cs="Times New Roman"/>
                <w:b/>
                <w:color w:val="auto"/>
                <w:sz w:val="21"/>
                <w:szCs w:val="21"/>
                <w:lang w:val="en-US" w:eastAsia="zh-CN"/>
              </w:rPr>
              <w:t>3</w:t>
            </w:r>
            <w:r>
              <w:rPr>
                <w:rFonts w:hint="default" w:ascii="Times New Roman" w:hAnsi="Times New Roman" w:eastAsia="宋体" w:cs="Times New Roman"/>
                <w:b/>
                <w:color w:val="auto"/>
                <w:sz w:val="21"/>
                <w:szCs w:val="21"/>
              </w:rPr>
              <w:t xml:space="preserve">  危险废物指南表</w:t>
            </w:r>
          </w:p>
          <w:tbl>
            <w:tblPr>
              <w:tblStyle w:val="4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769"/>
              <w:gridCol w:w="1106"/>
              <w:gridCol w:w="1506"/>
              <w:gridCol w:w="924"/>
              <w:gridCol w:w="774"/>
              <w:gridCol w:w="427"/>
              <w:gridCol w:w="972"/>
              <w:gridCol w:w="845"/>
              <w:gridCol w:w="609"/>
              <w:gridCol w:w="578"/>
              <w:gridCol w:w="636"/>
            </w:tblGrid>
            <w:tr w14:paraId="082FF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3" w:type="pct"/>
                  <w:noWrap w:val="0"/>
                  <w:vAlign w:val="center"/>
                </w:tcPr>
                <w:p w14:paraId="493A2E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编号</w:t>
                  </w:r>
                </w:p>
              </w:tc>
              <w:tc>
                <w:tcPr>
                  <w:tcW w:w="401" w:type="pct"/>
                  <w:noWrap w:val="0"/>
                  <w:vAlign w:val="center"/>
                </w:tcPr>
                <w:p w14:paraId="5DD44D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危险废物名称</w:t>
                  </w:r>
                </w:p>
              </w:tc>
              <w:tc>
                <w:tcPr>
                  <w:tcW w:w="577" w:type="pct"/>
                  <w:noWrap w:val="0"/>
                  <w:vAlign w:val="center"/>
                </w:tcPr>
                <w:p w14:paraId="1911FA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危险废物类别</w:t>
                  </w:r>
                </w:p>
              </w:tc>
              <w:tc>
                <w:tcPr>
                  <w:tcW w:w="786" w:type="pct"/>
                  <w:noWrap w:val="0"/>
                  <w:vAlign w:val="center"/>
                </w:tcPr>
                <w:p w14:paraId="6FCE8C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危险废物代码</w:t>
                  </w:r>
                </w:p>
              </w:tc>
              <w:tc>
                <w:tcPr>
                  <w:tcW w:w="482" w:type="pct"/>
                  <w:noWrap w:val="0"/>
                  <w:vAlign w:val="center"/>
                </w:tcPr>
                <w:p w14:paraId="047CC9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产生量t/a</w:t>
                  </w:r>
                </w:p>
              </w:tc>
              <w:tc>
                <w:tcPr>
                  <w:tcW w:w="404" w:type="pct"/>
                  <w:noWrap w:val="0"/>
                  <w:vAlign w:val="center"/>
                </w:tcPr>
                <w:p w14:paraId="0641C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产生工序及装置</w:t>
                  </w:r>
                </w:p>
              </w:tc>
              <w:tc>
                <w:tcPr>
                  <w:tcW w:w="223" w:type="pct"/>
                  <w:noWrap w:val="0"/>
                  <w:vAlign w:val="center"/>
                </w:tcPr>
                <w:p w14:paraId="7D0F4A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507" w:type="pct"/>
                  <w:noWrap w:val="0"/>
                  <w:vAlign w:val="center"/>
                </w:tcPr>
                <w:p w14:paraId="03667F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主要成分</w:t>
                  </w:r>
                </w:p>
              </w:tc>
              <w:tc>
                <w:tcPr>
                  <w:tcW w:w="441" w:type="pct"/>
                  <w:noWrap w:val="0"/>
                  <w:vAlign w:val="center"/>
                </w:tcPr>
                <w:p w14:paraId="5B5798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有害成分</w:t>
                  </w:r>
                </w:p>
              </w:tc>
              <w:tc>
                <w:tcPr>
                  <w:tcW w:w="318" w:type="pct"/>
                  <w:noWrap w:val="0"/>
                  <w:vAlign w:val="center"/>
                </w:tcPr>
                <w:p w14:paraId="1C710D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产废周期</w:t>
                  </w:r>
                </w:p>
              </w:tc>
              <w:tc>
                <w:tcPr>
                  <w:tcW w:w="301" w:type="pct"/>
                  <w:noWrap w:val="0"/>
                  <w:vAlign w:val="center"/>
                </w:tcPr>
                <w:p w14:paraId="3B8C08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w:t>
                  </w:r>
                </w:p>
                <w:p w14:paraId="37F940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特性</w:t>
                  </w:r>
                </w:p>
              </w:tc>
              <w:tc>
                <w:tcPr>
                  <w:tcW w:w="332" w:type="pct"/>
                  <w:noWrap w:val="0"/>
                  <w:vAlign w:val="center"/>
                </w:tcPr>
                <w:p w14:paraId="61661C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污染防治措施</w:t>
                  </w:r>
                </w:p>
              </w:tc>
            </w:tr>
            <w:tr w14:paraId="3BFFB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623FE4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01" w:type="pct"/>
                  <w:shd w:val="clear" w:color="auto" w:fill="auto"/>
                  <w:noWrap w:val="0"/>
                  <w:vAlign w:val="center"/>
                </w:tcPr>
                <w:p w14:paraId="1EB6A8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废齿轮油</w:t>
                  </w:r>
                </w:p>
              </w:tc>
              <w:tc>
                <w:tcPr>
                  <w:tcW w:w="577" w:type="pct"/>
                  <w:shd w:val="clear" w:color="auto" w:fill="auto"/>
                  <w:noWrap w:val="0"/>
                  <w:vAlign w:val="center"/>
                </w:tcPr>
                <w:p w14:paraId="56A5DB6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HW08</w:t>
                  </w:r>
                </w:p>
              </w:tc>
              <w:tc>
                <w:tcPr>
                  <w:tcW w:w="786" w:type="pct"/>
                  <w:shd w:val="clear" w:color="auto" w:fill="auto"/>
                  <w:noWrap w:val="0"/>
                  <w:vAlign w:val="center"/>
                </w:tcPr>
                <w:p w14:paraId="17A276A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900-217-08</w:t>
                  </w:r>
                </w:p>
              </w:tc>
              <w:tc>
                <w:tcPr>
                  <w:tcW w:w="482" w:type="pct"/>
                  <w:shd w:val="clear" w:color="auto" w:fill="auto"/>
                  <w:noWrap w:val="0"/>
                  <w:vAlign w:val="center"/>
                </w:tcPr>
                <w:p w14:paraId="7AF74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404" w:type="pct"/>
                  <w:shd w:val="clear" w:color="auto" w:fill="auto"/>
                  <w:noWrap w:val="0"/>
                  <w:vAlign w:val="center"/>
                </w:tcPr>
                <w:p w14:paraId="50B012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223" w:type="pct"/>
                  <w:shd w:val="clear" w:color="auto" w:fill="auto"/>
                  <w:noWrap w:val="0"/>
                  <w:vAlign w:val="center"/>
                </w:tcPr>
                <w:p w14:paraId="1099C0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液态</w:t>
                  </w:r>
                </w:p>
              </w:tc>
              <w:tc>
                <w:tcPr>
                  <w:tcW w:w="507" w:type="pct"/>
                  <w:shd w:val="clear" w:color="auto" w:fill="auto"/>
                  <w:noWrap w:val="0"/>
                  <w:vAlign w:val="center"/>
                </w:tcPr>
                <w:p w14:paraId="6D8293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矿物油</w:t>
                  </w:r>
                </w:p>
              </w:tc>
              <w:tc>
                <w:tcPr>
                  <w:tcW w:w="441" w:type="pct"/>
                  <w:shd w:val="clear" w:color="auto" w:fill="auto"/>
                  <w:noWrap w:val="0"/>
                  <w:vAlign w:val="center"/>
                </w:tcPr>
                <w:p w14:paraId="38C1AA4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矿物油</w:t>
                  </w:r>
                </w:p>
              </w:tc>
              <w:tc>
                <w:tcPr>
                  <w:tcW w:w="318" w:type="pct"/>
                  <w:noWrap w:val="0"/>
                  <w:vAlign w:val="center"/>
                </w:tcPr>
                <w:p w14:paraId="516DF44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每月</w:t>
                  </w:r>
                </w:p>
              </w:tc>
              <w:tc>
                <w:tcPr>
                  <w:tcW w:w="301" w:type="pct"/>
                  <w:shd w:val="clear" w:color="auto" w:fill="auto"/>
                  <w:noWrap w:val="0"/>
                  <w:vAlign w:val="center"/>
                </w:tcPr>
                <w:p w14:paraId="57293B75">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highlight w:val="none"/>
                    </w:rPr>
                    <w:t>T</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I</w:t>
                  </w:r>
                </w:p>
              </w:tc>
              <w:tc>
                <w:tcPr>
                  <w:tcW w:w="332" w:type="pct"/>
                  <w:vMerge w:val="restart"/>
                  <w:noWrap w:val="0"/>
                  <w:vAlign w:val="center"/>
                </w:tcPr>
                <w:p w14:paraId="22064B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密闭包装、危废仓库暂存、委托有资质单位处置</w:t>
                  </w:r>
                </w:p>
              </w:tc>
            </w:tr>
            <w:tr w14:paraId="22CB3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625F8A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401" w:type="pct"/>
                  <w:shd w:val="clear" w:color="auto" w:fill="auto"/>
                  <w:noWrap w:val="0"/>
                  <w:vAlign w:val="center"/>
                </w:tcPr>
                <w:p w14:paraId="4A4057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冷却废液</w:t>
                  </w:r>
                </w:p>
              </w:tc>
              <w:tc>
                <w:tcPr>
                  <w:tcW w:w="577" w:type="pct"/>
                  <w:shd w:val="clear" w:color="auto" w:fill="auto"/>
                  <w:noWrap w:val="0"/>
                  <w:vAlign w:val="center"/>
                </w:tcPr>
                <w:p w14:paraId="3A08D09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786" w:type="pct"/>
                  <w:shd w:val="clear" w:color="auto" w:fill="auto"/>
                  <w:noWrap w:val="0"/>
                  <w:vAlign w:val="center"/>
                </w:tcPr>
                <w:p w14:paraId="42966B0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w:t>
                  </w:r>
                  <w:r>
                    <w:rPr>
                      <w:rFonts w:hint="eastAsia" w:cs="Times New Roman"/>
                      <w:color w:val="auto"/>
                      <w:sz w:val="21"/>
                      <w:szCs w:val="21"/>
                      <w:lang w:val="en-US" w:eastAsia="zh-CN"/>
                    </w:rPr>
                    <w:t>41</w:t>
                  </w:r>
                  <w:r>
                    <w:rPr>
                      <w:rFonts w:hint="default" w:ascii="Times New Roman" w:hAnsi="Times New Roman" w:eastAsia="宋体" w:cs="Times New Roman"/>
                      <w:color w:val="auto"/>
                      <w:sz w:val="21"/>
                      <w:szCs w:val="21"/>
                      <w:lang w:val="en-US" w:eastAsia="zh-CN"/>
                    </w:rPr>
                    <w:t>-49</w:t>
                  </w:r>
                </w:p>
              </w:tc>
              <w:tc>
                <w:tcPr>
                  <w:tcW w:w="482" w:type="pct"/>
                  <w:shd w:val="clear" w:color="auto" w:fill="auto"/>
                  <w:noWrap w:val="0"/>
                  <w:vAlign w:val="center"/>
                </w:tcPr>
                <w:p w14:paraId="7E325B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404" w:type="pct"/>
                  <w:shd w:val="clear" w:color="auto" w:fill="auto"/>
                  <w:noWrap w:val="0"/>
                  <w:vAlign w:val="center"/>
                </w:tcPr>
                <w:p w14:paraId="075898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w:t>
                  </w:r>
                </w:p>
              </w:tc>
              <w:tc>
                <w:tcPr>
                  <w:tcW w:w="223" w:type="pct"/>
                  <w:shd w:val="clear" w:color="auto" w:fill="auto"/>
                  <w:noWrap w:val="0"/>
                  <w:vAlign w:val="center"/>
                </w:tcPr>
                <w:p w14:paraId="6F666F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液态</w:t>
                  </w:r>
                </w:p>
              </w:tc>
              <w:tc>
                <w:tcPr>
                  <w:tcW w:w="507" w:type="pct"/>
                  <w:shd w:val="clear" w:color="auto" w:fill="auto"/>
                  <w:noWrap w:val="0"/>
                  <w:vAlign w:val="center"/>
                </w:tcPr>
                <w:p w14:paraId="479BDB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水、杂质</w:t>
                  </w:r>
                </w:p>
              </w:tc>
              <w:tc>
                <w:tcPr>
                  <w:tcW w:w="441" w:type="pct"/>
                  <w:shd w:val="clear" w:color="auto" w:fill="auto"/>
                  <w:noWrap w:val="0"/>
                  <w:vAlign w:val="center"/>
                </w:tcPr>
                <w:p w14:paraId="591131A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杂质</w:t>
                  </w:r>
                </w:p>
              </w:tc>
              <w:tc>
                <w:tcPr>
                  <w:tcW w:w="318" w:type="pct"/>
                  <w:shd w:val="clear" w:color="auto" w:fill="auto"/>
                  <w:noWrap w:val="0"/>
                  <w:vAlign w:val="center"/>
                </w:tcPr>
                <w:p w14:paraId="0ED3740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w:t>
                  </w:r>
                  <w:r>
                    <w:rPr>
                      <w:rFonts w:hint="eastAsia" w:cs="Times New Roman"/>
                      <w:color w:val="auto"/>
                      <w:sz w:val="21"/>
                      <w:szCs w:val="21"/>
                      <w:lang w:val="en-US" w:eastAsia="zh-CN"/>
                    </w:rPr>
                    <w:t>三个</w:t>
                  </w:r>
                  <w:r>
                    <w:rPr>
                      <w:rFonts w:hint="default" w:ascii="Times New Roman" w:hAnsi="Times New Roman" w:eastAsia="宋体" w:cs="Times New Roman"/>
                      <w:color w:val="auto"/>
                      <w:sz w:val="21"/>
                      <w:szCs w:val="21"/>
                      <w:lang w:val="en-US" w:eastAsia="zh-CN"/>
                    </w:rPr>
                    <w:t>月</w:t>
                  </w:r>
                </w:p>
              </w:tc>
              <w:tc>
                <w:tcPr>
                  <w:tcW w:w="301" w:type="pct"/>
                  <w:shd w:val="clear" w:color="auto" w:fill="auto"/>
                  <w:noWrap w:val="0"/>
                  <w:vAlign w:val="center"/>
                </w:tcPr>
                <w:p w14:paraId="3A98F3C2">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332" w:type="pct"/>
                  <w:vMerge w:val="continue"/>
                  <w:noWrap w:val="0"/>
                  <w:vAlign w:val="center"/>
                </w:tcPr>
                <w:p w14:paraId="50525B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05B2E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1DC3D4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401" w:type="pct"/>
                  <w:shd w:val="clear" w:color="auto" w:fill="auto"/>
                  <w:noWrap w:val="0"/>
                  <w:vAlign w:val="center"/>
                </w:tcPr>
                <w:p w14:paraId="02EE66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废包装桶</w:t>
                  </w:r>
                </w:p>
              </w:tc>
              <w:tc>
                <w:tcPr>
                  <w:tcW w:w="577" w:type="pct"/>
                  <w:shd w:val="clear" w:color="auto" w:fill="auto"/>
                  <w:noWrap w:val="0"/>
                  <w:vAlign w:val="center"/>
                </w:tcPr>
                <w:p w14:paraId="128D877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786" w:type="pct"/>
                  <w:shd w:val="clear" w:color="auto" w:fill="auto"/>
                  <w:noWrap w:val="0"/>
                  <w:vAlign w:val="center"/>
                </w:tcPr>
                <w:p w14:paraId="09FF702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900-041-49</w:t>
                  </w:r>
                </w:p>
              </w:tc>
              <w:tc>
                <w:tcPr>
                  <w:tcW w:w="482" w:type="pct"/>
                  <w:shd w:val="clear" w:color="auto" w:fill="auto"/>
                  <w:noWrap w:val="0"/>
                  <w:vAlign w:val="center"/>
                </w:tcPr>
                <w:p w14:paraId="36303C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w:t>
                  </w:r>
                </w:p>
              </w:tc>
              <w:tc>
                <w:tcPr>
                  <w:tcW w:w="404" w:type="pct"/>
                  <w:shd w:val="clear" w:color="auto" w:fill="auto"/>
                  <w:noWrap w:val="0"/>
                  <w:vAlign w:val="center"/>
                </w:tcPr>
                <w:p w14:paraId="128741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包装材料</w:t>
                  </w:r>
                </w:p>
              </w:tc>
              <w:tc>
                <w:tcPr>
                  <w:tcW w:w="223" w:type="pct"/>
                  <w:shd w:val="clear" w:color="auto" w:fill="auto"/>
                  <w:noWrap w:val="0"/>
                  <w:vAlign w:val="center"/>
                </w:tcPr>
                <w:p w14:paraId="7DA1FE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07" w:type="pct"/>
                  <w:shd w:val="clear" w:color="auto" w:fill="auto"/>
                  <w:noWrap w:val="0"/>
                  <w:vAlign w:val="center"/>
                </w:tcPr>
                <w:p w14:paraId="55BB66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金属、矿物油</w:t>
                  </w:r>
                  <w:r>
                    <w:rPr>
                      <w:rFonts w:hint="eastAsia" w:cs="Times New Roman"/>
                      <w:color w:val="auto"/>
                      <w:sz w:val="21"/>
                      <w:szCs w:val="21"/>
                      <w:lang w:val="en-US" w:eastAsia="zh-CN"/>
                    </w:rPr>
                    <w:t>、植物油</w:t>
                  </w:r>
                </w:p>
              </w:tc>
              <w:tc>
                <w:tcPr>
                  <w:tcW w:w="441" w:type="pct"/>
                  <w:shd w:val="clear" w:color="auto" w:fill="auto"/>
                  <w:noWrap w:val="0"/>
                  <w:vAlign w:val="center"/>
                </w:tcPr>
                <w:p w14:paraId="6775E02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矿物油</w:t>
                  </w:r>
                  <w:r>
                    <w:rPr>
                      <w:rFonts w:hint="eastAsia" w:cs="Times New Roman"/>
                      <w:color w:val="auto"/>
                      <w:sz w:val="21"/>
                      <w:szCs w:val="21"/>
                      <w:lang w:val="en-US" w:eastAsia="zh-CN"/>
                    </w:rPr>
                    <w:t>、植物油</w:t>
                  </w:r>
                </w:p>
              </w:tc>
              <w:tc>
                <w:tcPr>
                  <w:tcW w:w="318" w:type="pct"/>
                  <w:noWrap w:val="0"/>
                  <w:vAlign w:val="center"/>
                </w:tcPr>
                <w:p w14:paraId="25D2E42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每月</w:t>
                  </w:r>
                </w:p>
              </w:tc>
              <w:tc>
                <w:tcPr>
                  <w:tcW w:w="301" w:type="pct"/>
                  <w:shd w:val="clear" w:color="auto" w:fill="auto"/>
                  <w:noWrap w:val="0"/>
                  <w:vAlign w:val="center"/>
                </w:tcPr>
                <w:p w14:paraId="5F08D06C">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332" w:type="pct"/>
                  <w:vMerge w:val="continue"/>
                  <w:noWrap w:val="0"/>
                  <w:vAlign w:val="center"/>
                </w:tcPr>
                <w:p w14:paraId="77EBCD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38E59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6659B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401" w:type="pct"/>
                  <w:shd w:val="clear" w:color="auto" w:fill="auto"/>
                  <w:noWrap w:val="0"/>
                  <w:vAlign w:val="center"/>
                </w:tcPr>
                <w:p w14:paraId="068BFF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废活性炭</w:t>
                  </w:r>
                </w:p>
              </w:tc>
              <w:tc>
                <w:tcPr>
                  <w:tcW w:w="577" w:type="pct"/>
                  <w:shd w:val="clear" w:color="auto" w:fill="auto"/>
                  <w:noWrap w:val="0"/>
                  <w:vAlign w:val="center"/>
                </w:tcPr>
                <w:p w14:paraId="42514DF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786" w:type="pct"/>
                  <w:shd w:val="clear" w:color="auto" w:fill="auto"/>
                  <w:noWrap w:val="0"/>
                  <w:vAlign w:val="center"/>
                </w:tcPr>
                <w:p w14:paraId="1016D9B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900-039-49</w:t>
                  </w:r>
                </w:p>
              </w:tc>
              <w:tc>
                <w:tcPr>
                  <w:tcW w:w="482" w:type="pct"/>
                  <w:shd w:val="clear" w:color="auto" w:fill="auto"/>
                  <w:noWrap w:val="0"/>
                  <w:vAlign w:val="center"/>
                </w:tcPr>
                <w:p w14:paraId="2E2380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2.6</w:t>
                  </w:r>
                </w:p>
              </w:tc>
              <w:tc>
                <w:tcPr>
                  <w:tcW w:w="404" w:type="pct"/>
                  <w:shd w:val="clear" w:color="auto" w:fill="auto"/>
                  <w:noWrap w:val="0"/>
                  <w:vAlign w:val="center"/>
                </w:tcPr>
                <w:p w14:paraId="307C54D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223" w:type="pct"/>
                  <w:shd w:val="clear" w:color="auto" w:fill="auto"/>
                  <w:noWrap w:val="0"/>
                  <w:vAlign w:val="center"/>
                </w:tcPr>
                <w:p w14:paraId="2F5429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07" w:type="pct"/>
                  <w:shd w:val="clear" w:color="auto" w:fill="auto"/>
                  <w:noWrap w:val="0"/>
                  <w:vAlign w:val="center"/>
                </w:tcPr>
                <w:p w14:paraId="5655DF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活性炭、有机物</w:t>
                  </w:r>
                </w:p>
              </w:tc>
              <w:tc>
                <w:tcPr>
                  <w:tcW w:w="441" w:type="pct"/>
                  <w:shd w:val="clear" w:color="auto" w:fill="auto"/>
                  <w:noWrap w:val="0"/>
                  <w:vAlign w:val="center"/>
                </w:tcPr>
                <w:p w14:paraId="1BD3DE6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有机物</w:t>
                  </w:r>
                </w:p>
              </w:tc>
              <w:tc>
                <w:tcPr>
                  <w:tcW w:w="318" w:type="pct"/>
                  <w:noWrap w:val="0"/>
                  <w:vAlign w:val="center"/>
                </w:tcPr>
                <w:p w14:paraId="58B0EF3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每三个月</w:t>
                  </w:r>
                </w:p>
              </w:tc>
              <w:tc>
                <w:tcPr>
                  <w:tcW w:w="301" w:type="pct"/>
                  <w:shd w:val="clear" w:color="auto" w:fill="auto"/>
                  <w:noWrap w:val="0"/>
                  <w:vAlign w:val="center"/>
                </w:tcPr>
                <w:p w14:paraId="5171B08D">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p>
              </w:tc>
              <w:tc>
                <w:tcPr>
                  <w:tcW w:w="332" w:type="pct"/>
                  <w:vMerge w:val="continue"/>
                  <w:noWrap w:val="0"/>
                  <w:vAlign w:val="center"/>
                </w:tcPr>
                <w:p w14:paraId="3D8CB3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75BA4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6ED414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401" w:type="pct"/>
                  <w:shd w:val="clear" w:color="auto" w:fill="auto"/>
                  <w:noWrap w:val="0"/>
                  <w:vAlign w:val="center"/>
                </w:tcPr>
                <w:p w14:paraId="2F98F5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废抹布手套</w:t>
                  </w:r>
                </w:p>
              </w:tc>
              <w:tc>
                <w:tcPr>
                  <w:tcW w:w="577" w:type="pct"/>
                  <w:shd w:val="clear" w:color="auto" w:fill="auto"/>
                  <w:noWrap w:val="0"/>
                  <w:vAlign w:val="center"/>
                </w:tcPr>
                <w:p w14:paraId="116768A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786" w:type="pct"/>
                  <w:shd w:val="clear" w:color="auto" w:fill="auto"/>
                  <w:noWrap w:val="0"/>
                  <w:vAlign w:val="center"/>
                </w:tcPr>
                <w:p w14:paraId="78886BB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w:t>
                  </w:r>
                  <w:r>
                    <w:rPr>
                      <w:rFonts w:hint="eastAsia" w:cs="Times New Roman"/>
                      <w:color w:val="auto"/>
                      <w:sz w:val="21"/>
                      <w:szCs w:val="21"/>
                      <w:lang w:val="en-US" w:eastAsia="zh-CN"/>
                    </w:rPr>
                    <w:t>41</w:t>
                  </w:r>
                  <w:r>
                    <w:rPr>
                      <w:rFonts w:hint="default" w:ascii="Times New Roman" w:hAnsi="Times New Roman" w:eastAsia="宋体" w:cs="Times New Roman"/>
                      <w:color w:val="auto"/>
                      <w:sz w:val="21"/>
                      <w:szCs w:val="21"/>
                      <w:lang w:val="en-US" w:eastAsia="zh-CN"/>
                    </w:rPr>
                    <w:t>-49</w:t>
                  </w:r>
                </w:p>
              </w:tc>
              <w:tc>
                <w:tcPr>
                  <w:tcW w:w="482" w:type="pct"/>
                  <w:shd w:val="clear" w:color="auto" w:fill="auto"/>
                  <w:noWrap w:val="0"/>
                  <w:vAlign w:val="center"/>
                </w:tcPr>
                <w:p w14:paraId="0F522A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404" w:type="pct"/>
                  <w:shd w:val="clear" w:color="auto" w:fill="auto"/>
                  <w:noWrap w:val="0"/>
                  <w:vAlign w:val="center"/>
                </w:tcPr>
                <w:p w14:paraId="2374AB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223" w:type="pct"/>
                  <w:shd w:val="clear" w:color="auto" w:fill="auto"/>
                  <w:noWrap w:val="0"/>
                  <w:vAlign w:val="center"/>
                </w:tcPr>
                <w:p w14:paraId="7BDB24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07" w:type="pct"/>
                  <w:shd w:val="clear" w:color="auto" w:fill="auto"/>
                  <w:noWrap w:val="0"/>
                  <w:vAlign w:val="center"/>
                </w:tcPr>
                <w:p w14:paraId="56EE5C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棉、矿物油</w:t>
                  </w:r>
                </w:p>
              </w:tc>
              <w:tc>
                <w:tcPr>
                  <w:tcW w:w="441" w:type="pct"/>
                  <w:shd w:val="clear" w:color="auto" w:fill="auto"/>
                  <w:noWrap w:val="0"/>
                  <w:vAlign w:val="center"/>
                </w:tcPr>
                <w:p w14:paraId="12714C8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矿物油</w:t>
                  </w:r>
                </w:p>
              </w:tc>
              <w:tc>
                <w:tcPr>
                  <w:tcW w:w="318" w:type="pct"/>
                  <w:noWrap w:val="0"/>
                  <w:vAlign w:val="center"/>
                </w:tcPr>
                <w:p w14:paraId="7118D68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每月</w:t>
                  </w:r>
                </w:p>
              </w:tc>
              <w:tc>
                <w:tcPr>
                  <w:tcW w:w="301" w:type="pct"/>
                  <w:shd w:val="clear" w:color="auto" w:fill="auto"/>
                  <w:noWrap w:val="0"/>
                  <w:vAlign w:val="center"/>
                </w:tcPr>
                <w:p w14:paraId="7EFD844D">
                  <w:pPr>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332" w:type="pct"/>
                  <w:vMerge w:val="continue"/>
                  <w:noWrap w:val="0"/>
                  <w:vAlign w:val="center"/>
                </w:tcPr>
                <w:p w14:paraId="0EC855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46107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033ED9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w:t>
                  </w:r>
                </w:p>
              </w:tc>
              <w:tc>
                <w:tcPr>
                  <w:tcW w:w="401" w:type="pct"/>
                  <w:shd w:val="clear" w:color="auto" w:fill="auto"/>
                  <w:noWrap w:val="0"/>
                  <w:vAlign w:val="center"/>
                </w:tcPr>
                <w:p w14:paraId="5F63CD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沾染含大豆油的废布袋</w:t>
                  </w:r>
                </w:p>
              </w:tc>
              <w:tc>
                <w:tcPr>
                  <w:tcW w:w="577" w:type="pct"/>
                  <w:shd w:val="clear" w:color="auto" w:fill="auto"/>
                  <w:noWrap w:val="0"/>
                  <w:vAlign w:val="center"/>
                </w:tcPr>
                <w:p w14:paraId="77FA800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786" w:type="pct"/>
                  <w:shd w:val="clear" w:color="auto" w:fill="auto"/>
                  <w:noWrap w:val="0"/>
                  <w:vAlign w:val="center"/>
                </w:tcPr>
                <w:p w14:paraId="406B263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482" w:type="pct"/>
                  <w:shd w:val="clear" w:color="auto" w:fill="auto"/>
                  <w:noWrap w:val="0"/>
                  <w:vAlign w:val="center"/>
                </w:tcPr>
                <w:p w14:paraId="43F76E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404" w:type="pct"/>
                  <w:shd w:val="clear" w:color="auto" w:fill="auto"/>
                  <w:noWrap w:val="0"/>
                  <w:vAlign w:val="center"/>
                </w:tcPr>
                <w:p w14:paraId="1B8F37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223" w:type="pct"/>
                  <w:shd w:val="clear" w:color="auto" w:fill="auto"/>
                  <w:noWrap w:val="0"/>
                  <w:vAlign w:val="center"/>
                </w:tcPr>
                <w:p w14:paraId="3998E1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固态</w:t>
                  </w:r>
                </w:p>
              </w:tc>
              <w:tc>
                <w:tcPr>
                  <w:tcW w:w="507" w:type="pct"/>
                  <w:shd w:val="clear" w:color="auto" w:fill="auto"/>
                  <w:noWrap w:val="0"/>
                  <w:vAlign w:val="center"/>
                </w:tcPr>
                <w:p w14:paraId="4F51A0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布袋、</w:t>
                  </w:r>
                  <w:r>
                    <w:rPr>
                      <w:rFonts w:hint="eastAsia" w:cs="Times New Roman"/>
                      <w:color w:val="auto"/>
                      <w:sz w:val="21"/>
                      <w:szCs w:val="21"/>
                      <w:lang w:val="en-US" w:eastAsia="zh-CN"/>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441" w:type="pct"/>
                  <w:shd w:val="clear" w:color="auto" w:fill="auto"/>
                  <w:noWrap w:val="0"/>
                  <w:vAlign w:val="center"/>
                </w:tcPr>
                <w:p w14:paraId="3106AA4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大豆油</w:t>
                  </w:r>
                </w:p>
              </w:tc>
              <w:tc>
                <w:tcPr>
                  <w:tcW w:w="318" w:type="pct"/>
                  <w:noWrap w:val="0"/>
                  <w:vAlign w:val="center"/>
                </w:tcPr>
                <w:p w14:paraId="5565507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每月</w:t>
                  </w:r>
                </w:p>
              </w:tc>
              <w:tc>
                <w:tcPr>
                  <w:tcW w:w="301" w:type="pct"/>
                  <w:shd w:val="clear" w:color="auto" w:fill="auto"/>
                  <w:noWrap w:val="0"/>
                  <w:vAlign w:val="center"/>
                </w:tcPr>
                <w:p w14:paraId="3DFB4F21">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332" w:type="pct"/>
                  <w:vMerge w:val="continue"/>
                  <w:noWrap w:val="0"/>
                  <w:vAlign w:val="center"/>
                </w:tcPr>
                <w:p w14:paraId="45EC90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39E9C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3" w:type="pct"/>
                  <w:shd w:val="clear" w:color="auto" w:fill="auto"/>
                  <w:noWrap w:val="0"/>
                  <w:vAlign w:val="center"/>
                </w:tcPr>
                <w:p w14:paraId="3F16B9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401" w:type="pct"/>
                  <w:shd w:val="clear" w:color="auto" w:fill="auto"/>
                  <w:noWrap w:val="0"/>
                  <w:vAlign w:val="center"/>
                </w:tcPr>
                <w:p w14:paraId="6EFFB8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油泥</w:t>
                  </w:r>
                </w:p>
              </w:tc>
              <w:tc>
                <w:tcPr>
                  <w:tcW w:w="577" w:type="pct"/>
                  <w:shd w:val="clear" w:color="auto" w:fill="auto"/>
                  <w:noWrap w:val="0"/>
                  <w:vAlign w:val="center"/>
                </w:tcPr>
                <w:p w14:paraId="4EA6483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786" w:type="pct"/>
                  <w:shd w:val="clear" w:color="auto" w:fill="auto"/>
                  <w:noWrap w:val="0"/>
                  <w:vAlign w:val="center"/>
                </w:tcPr>
                <w:p w14:paraId="45487B5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482" w:type="pct"/>
                  <w:shd w:val="clear" w:color="auto" w:fill="auto"/>
                  <w:noWrap w:val="0"/>
                  <w:vAlign w:val="center"/>
                </w:tcPr>
                <w:p w14:paraId="1FED20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0.4</w:t>
                  </w:r>
                </w:p>
              </w:tc>
              <w:tc>
                <w:tcPr>
                  <w:tcW w:w="404" w:type="pct"/>
                  <w:shd w:val="clear" w:color="auto" w:fill="auto"/>
                  <w:noWrap w:val="0"/>
                  <w:vAlign w:val="center"/>
                </w:tcPr>
                <w:p w14:paraId="0A6999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223" w:type="pct"/>
                  <w:shd w:val="clear" w:color="auto" w:fill="auto"/>
                  <w:noWrap w:val="0"/>
                  <w:vAlign w:val="center"/>
                </w:tcPr>
                <w:p w14:paraId="142F05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固态</w:t>
                  </w:r>
                </w:p>
              </w:tc>
              <w:tc>
                <w:tcPr>
                  <w:tcW w:w="507" w:type="pct"/>
                  <w:shd w:val="clear" w:color="auto" w:fill="auto"/>
                  <w:noWrap w:val="0"/>
                  <w:vAlign w:val="center"/>
                </w:tcPr>
                <w:p w14:paraId="20B6C0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大豆油、</w:t>
                  </w:r>
                  <w:r>
                    <w:rPr>
                      <w:rFonts w:hint="eastAsia" w:ascii="Times New Roman" w:hAnsi="Times New Roman" w:eastAsia="宋体" w:cs="Times New Roman"/>
                      <w:color w:val="auto"/>
                      <w:kern w:val="2"/>
                      <w:sz w:val="21"/>
                      <w:szCs w:val="21"/>
                      <w:lang w:val="en-US" w:eastAsia="zh-CN" w:bidi="ar-SA"/>
                    </w:rPr>
                    <w:t>PVC、碳酸钙、钙锌热稳定剂、色母</w:t>
                  </w:r>
                </w:p>
              </w:tc>
              <w:tc>
                <w:tcPr>
                  <w:tcW w:w="441" w:type="pct"/>
                  <w:shd w:val="clear" w:color="auto" w:fill="auto"/>
                  <w:noWrap w:val="0"/>
                  <w:vAlign w:val="center"/>
                </w:tcPr>
                <w:p w14:paraId="27D876C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大豆油</w:t>
                  </w:r>
                </w:p>
              </w:tc>
              <w:tc>
                <w:tcPr>
                  <w:tcW w:w="318" w:type="pct"/>
                  <w:noWrap w:val="0"/>
                  <w:vAlign w:val="center"/>
                </w:tcPr>
                <w:p w14:paraId="13C8099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每月</w:t>
                  </w:r>
                </w:p>
              </w:tc>
              <w:tc>
                <w:tcPr>
                  <w:tcW w:w="301" w:type="pct"/>
                  <w:shd w:val="clear" w:color="auto" w:fill="auto"/>
                  <w:noWrap w:val="0"/>
                  <w:vAlign w:val="center"/>
                </w:tcPr>
                <w:p w14:paraId="6D3C2EF1">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w:t>
                  </w:r>
                  <w:r>
                    <w:rPr>
                      <w:rFonts w:hint="eastAsia" w:cs="Times New Roman"/>
                      <w:bCs/>
                      <w:color w:val="auto"/>
                      <w:sz w:val="21"/>
                      <w:szCs w:val="21"/>
                      <w:highlight w:val="none"/>
                      <w:lang w:val="en-US" w:eastAsia="zh-CN"/>
                    </w:rPr>
                    <w:t>/In</w:t>
                  </w:r>
                </w:p>
              </w:tc>
              <w:tc>
                <w:tcPr>
                  <w:tcW w:w="332" w:type="pct"/>
                  <w:vMerge w:val="continue"/>
                  <w:noWrap w:val="0"/>
                  <w:vAlign w:val="center"/>
                </w:tcPr>
                <w:p w14:paraId="5BC1FF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r>
          </w:tbl>
          <w:p w14:paraId="13B57B54">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固体废物环境影响分析</w:t>
            </w:r>
          </w:p>
          <w:p w14:paraId="30F55AAB">
            <w:pPr>
              <w:snapToGrid w:val="0"/>
              <w:ind w:firstLine="0" w:firstLineChars="0"/>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lang w:val="en-US" w:eastAsia="zh-CN"/>
              </w:rPr>
              <w:t>治理措施</w:t>
            </w:r>
          </w:p>
          <w:p w14:paraId="2BD24667">
            <w:pPr>
              <w:snapToGrid w:val="0"/>
              <w:ind w:firstLine="422"/>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生活垃圾由环卫部门统一收集处理；</w:t>
            </w:r>
            <w:r>
              <w:rPr>
                <w:rFonts w:hint="default" w:ascii="Times New Roman" w:hAnsi="Times New Roman" w:eastAsia="宋体" w:cs="Times New Roman"/>
                <w:b w:val="0"/>
                <w:bCs w:val="0"/>
                <w:color w:val="auto"/>
                <w:sz w:val="24"/>
                <w:szCs w:val="24"/>
                <w:lang w:val="en-US" w:eastAsia="zh-CN"/>
              </w:rPr>
              <w:t>废包装袋、废布袋</w:t>
            </w:r>
            <w:r>
              <w:rPr>
                <w:rFonts w:hint="default" w:ascii="Times New Roman" w:hAnsi="Times New Roman" w:eastAsia="宋体" w:cs="Times New Roman"/>
                <w:b w:val="0"/>
                <w:bCs w:val="0"/>
                <w:color w:val="auto"/>
                <w:sz w:val="24"/>
                <w:szCs w:val="24"/>
              </w:rPr>
              <w:t>外售综合利用</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不合格品、收集粉尘</w:t>
            </w:r>
            <w:r>
              <w:rPr>
                <w:rFonts w:hint="default" w:ascii="Times New Roman" w:hAnsi="Times New Roman" w:eastAsia="宋体" w:cs="Times New Roman"/>
                <w:b w:val="0"/>
                <w:bCs/>
                <w:color w:val="auto"/>
                <w:sz w:val="24"/>
                <w:highlight w:val="none"/>
                <w:shd w:val="clear" w:color="auto" w:fill="auto"/>
                <w:lang w:val="en-US" w:eastAsia="zh-CN"/>
              </w:rPr>
              <w:t>回用于生产</w:t>
            </w:r>
            <w:r>
              <w:rPr>
                <w:rFonts w:hint="default"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冷却废液、</w:t>
            </w:r>
            <w:r>
              <w:rPr>
                <w:rFonts w:hint="default" w:ascii="Times New Roman" w:hAnsi="Times New Roman" w:eastAsia="宋体" w:cs="Times New Roman"/>
                <w:b w:val="0"/>
                <w:bCs w:val="0"/>
                <w:color w:val="auto"/>
                <w:sz w:val="24"/>
                <w:szCs w:val="24"/>
                <w:lang w:eastAsia="zh-CN"/>
              </w:rPr>
              <w:t>废齿轮油、废包装桶、废抹布手套、废活性炭</w:t>
            </w:r>
            <w:r>
              <w:rPr>
                <w:rFonts w:hint="eastAsia" w:ascii="Times New Roman" w:hAnsi="Times New Roman" w:cs="Times New Roman"/>
                <w:b w:val="0"/>
                <w:bCs/>
                <w:color w:val="auto"/>
                <w:sz w:val="24"/>
                <w:highlight w:val="none"/>
                <w:lang w:eastAsia="zh-CN"/>
              </w:rPr>
              <w:t>、</w:t>
            </w:r>
            <w:r>
              <w:rPr>
                <w:rFonts w:hint="eastAsia" w:ascii="Times New Roman" w:hAnsi="Times New Roman" w:cs="Times New Roman"/>
                <w:b w:val="0"/>
                <w:bCs/>
                <w:color w:val="auto"/>
                <w:sz w:val="24"/>
                <w:highlight w:val="none"/>
                <w:lang w:val="en-US" w:eastAsia="zh-CN"/>
              </w:rPr>
              <w:t>沾染大豆油的废布袋、油泥</w:t>
            </w:r>
            <w:r>
              <w:rPr>
                <w:rFonts w:hint="default" w:ascii="Times New Roman" w:hAnsi="Times New Roman" w:eastAsia="宋体" w:cs="Times New Roman"/>
                <w:b w:val="0"/>
                <w:bCs w:val="0"/>
                <w:color w:val="auto"/>
                <w:sz w:val="24"/>
                <w:szCs w:val="24"/>
              </w:rPr>
              <w:t>委托有</w:t>
            </w:r>
            <w:r>
              <w:rPr>
                <w:rFonts w:hint="default" w:ascii="Times New Roman" w:hAnsi="Times New Roman" w:eastAsia="宋体" w:cs="Times New Roman"/>
                <w:b w:val="0"/>
                <w:bCs w:val="0"/>
                <w:color w:val="auto"/>
                <w:sz w:val="24"/>
                <w:szCs w:val="24"/>
                <w:lang w:val="en-US" w:eastAsia="zh-CN"/>
              </w:rPr>
              <w:t>资质</w:t>
            </w:r>
            <w:r>
              <w:rPr>
                <w:rFonts w:hint="default" w:ascii="Times New Roman" w:hAnsi="Times New Roman" w:eastAsia="宋体" w:cs="Times New Roman"/>
                <w:b w:val="0"/>
                <w:bCs w:val="0"/>
                <w:color w:val="auto"/>
                <w:sz w:val="24"/>
                <w:szCs w:val="24"/>
              </w:rPr>
              <w:t>单位处置。</w:t>
            </w:r>
          </w:p>
          <w:p w14:paraId="7BB4450A">
            <w:pPr>
              <w:snapToGrid w:val="0"/>
              <w:ind w:firstLine="0" w:firstLineChars="0"/>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2排放情况</w:t>
            </w:r>
          </w:p>
          <w:p w14:paraId="621623B0">
            <w:pPr>
              <w:adjustRightInd w:val="0"/>
              <w:snapToGrid w:val="0"/>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固废处理处置率100%，固体废物不直接排放外环境。</w:t>
            </w:r>
          </w:p>
          <w:p w14:paraId="6DEE1255">
            <w:pPr>
              <w:widowControl/>
              <w:ind w:firstLine="0" w:firstLineChars="0"/>
              <w:jc w:val="left"/>
              <w:textAlignment w:val="bottom"/>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4.4.3固废储存场所面积合理性分析</w:t>
            </w:r>
          </w:p>
          <w:p w14:paraId="31E6241C">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根据《江苏省危险废物集中收集体系建设工作方案（试行）（苏环保</w:t>
            </w:r>
            <w:r>
              <w:rPr>
                <w:rFonts w:hint="default" w:ascii="Times New Roman" w:hAnsi="Times New Roman" w:eastAsia="宋体" w:cs="Times New Roman"/>
                <w:b w:val="0"/>
                <w:bCs w:val="0"/>
                <w:color w:val="auto"/>
                <w:sz w:val="24"/>
                <w:szCs w:val="24"/>
                <w:lang w:eastAsia="zh-CN"/>
              </w:rPr>
              <w:t>〔2021〕290号</w:t>
            </w:r>
            <w:r>
              <w:rPr>
                <w:rFonts w:hint="default" w:ascii="Times New Roman" w:hAnsi="Times New Roman" w:eastAsia="宋体" w:cs="Times New Roman"/>
                <w:b w:val="0"/>
                <w:bCs w:val="0"/>
                <w:color w:val="auto"/>
                <w:sz w:val="24"/>
                <w:szCs w:val="24"/>
              </w:rPr>
              <w:t>）》和《省生态环境厅关于印发《江苏省固体废物全过程环境监管工作意见》的通知》（苏环办</w:t>
            </w:r>
            <w:r>
              <w:rPr>
                <w:rFonts w:hint="default" w:ascii="Times New Roman" w:hAnsi="Times New Roman" w:eastAsia="宋体" w:cs="Times New Roman"/>
                <w:b w:val="0"/>
                <w:bCs w:val="0"/>
                <w:color w:val="auto"/>
                <w:sz w:val="24"/>
                <w:szCs w:val="24"/>
                <w:lang w:eastAsia="zh-CN"/>
              </w:rPr>
              <w:t>〔2024〕16号</w:t>
            </w:r>
            <w:r>
              <w:rPr>
                <w:rFonts w:hint="default" w:ascii="Times New Roman" w:hAnsi="Times New Roman" w:eastAsia="宋体" w:cs="Times New Roman"/>
                <w:b w:val="0"/>
                <w:bCs w:val="0"/>
                <w:color w:val="auto"/>
                <w:sz w:val="24"/>
                <w:szCs w:val="24"/>
              </w:rPr>
              <w:t>）中的要求，企业应根据危险废物的种类和特性进行分区、分类贮存，设置防雨、防火、防雷、防扬散、防渗漏装置及泄漏液体收集装置。对易爆、易燃及排出有毒气体的危险废物进行预处理，稳定后贮存，否则按易爆、易燃危险品贮存。贮存废弃剧毒化学品的，应按照公安机关要求落实治安防范措施。危险废物经营单位需制定废物入场控制措施，并不得接受核准经营许可以外的种类；贮存设施周转的累积贮存量不得超过年许可经营能力的六分之一，贮存期限原则上不得超过三个月，最大贮存周期均以90天计。根据产废周期核算，最大贮存量</w:t>
            </w:r>
            <w:r>
              <w:rPr>
                <w:rFonts w:hint="default" w:ascii="Times New Roman" w:hAnsi="Times New Roman" w:eastAsia="宋体" w:cs="Times New Roman"/>
                <w:b w:val="0"/>
                <w:bCs w:val="0"/>
                <w:color w:val="auto"/>
                <w:sz w:val="24"/>
                <w:szCs w:val="24"/>
                <w:lang w:val="en-US" w:eastAsia="zh-CN"/>
              </w:rPr>
              <w:t>约</w:t>
            </w:r>
            <w:r>
              <w:rPr>
                <w:rFonts w:hint="eastAsia" w:cs="Times New Roman"/>
                <w:b w:val="0"/>
                <w:bCs w:val="0"/>
                <w:color w:val="auto"/>
                <w:sz w:val="24"/>
                <w:szCs w:val="24"/>
                <w:lang w:val="en-US" w:eastAsia="zh-CN"/>
              </w:rPr>
              <w:t>2.375</w:t>
            </w:r>
            <w:r>
              <w:rPr>
                <w:rFonts w:hint="default" w:ascii="Times New Roman" w:hAnsi="Times New Roman" w:eastAsia="宋体" w:cs="Times New Roman"/>
                <w:b w:val="0"/>
                <w:bCs w:val="0"/>
                <w:color w:val="auto"/>
                <w:sz w:val="24"/>
                <w:szCs w:val="24"/>
                <w:lang w:val="en-US" w:eastAsia="zh-CN"/>
              </w:rPr>
              <w:t>t</w:t>
            </w:r>
            <w:r>
              <w:rPr>
                <w:rFonts w:hint="default" w:ascii="Times New Roman" w:hAnsi="Times New Roman" w:eastAsia="宋体" w:cs="Times New Roman"/>
                <w:b w:val="0"/>
                <w:bCs w:val="0"/>
                <w:color w:val="auto"/>
                <w:sz w:val="24"/>
                <w:szCs w:val="24"/>
              </w:rPr>
              <w:t>。厂区</w:t>
            </w:r>
            <w:r>
              <w:rPr>
                <w:rFonts w:hint="default" w:ascii="Times New Roman" w:hAnsi="Times New Roman" w:eastAsia="宋体" w:cs="Times New Roman"/>
                <w:b w:val="0"/>
                <w:bCs w:val="0"/>
                <w:color w:val="auto"/>
                <w:sz w:val="24"/>
                <w:szCs w:val="24"/>
                <w:lang w:val="en-US" w:eastAsia="zh-CN"/>
              </w:rPr>
              <w:t>新建</w:t>
            </w:r>
            <w:r>
              <w:rPr>
                <w:rFonts w:hint="default" w:ascii="Times New Roman" w:hAnsi="Times New Roman" w:eastAsia="宋体" w:cs="Times New Roman"/>
                <w:b w:val="0"/>
                <w:bCs w:val="0"/>
                <w:color w:val="auto"/>
                <w:sz w:val="24"/>
                <w:szCs w:val="24"/>
              </w:rPr>
              <w:t>1座</w:t>
            </w:r>
            <w:r>
              <w:rPr>
                <w:rFonts w:hint="default" w:ascii="Times New Roman" w:hAnsi="Times New Roman" w:eastAsia="宋体" w:cs="Times New Roman"/>
                <w:b w:val="0"/>
                <w:bCs w:val="0"/>
                <w:color w:val="auto"/>
                <w:sz w:val="24"/>
                <w:szCs w:val="24"/>
                <w:lang w:val="en-US" w:eastAsia="zh-CN"/>
              </w:rPr>
              <w:t>8</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default" w:ascii="Times New Roman" w:hAnsi="Times New Roman" w:eastAsia="宋体" w:cs="Times New Roman"/>
                <w:b w:val="0"/>
                <w:bCs w:val="0"/>
                <w:color w:val="auto"/>
                <w:sz w:val="24"/>
                <w:szCs w:val="24"/>
              </w:rPr>
              <w:t>危废仓库，危险废物采用桶装/袋装方式堆放于防渗托盘上，考虑货架间距及人行通道，危废仓库有效面积以总面积8</w:t>
            </w:r>
            <w:r>
              <w:rPr>
                <w:rFonts w:hint="default" w:ascii="Times New Roman" w:hAnsi="Times New Roman" w:eastAsia="宋体" w:cs="Times New Roman"/>
                <w:b w:val="0"/>
                <w:bCs w:val="0"/>
                <w:color w:val="auto"/>
                <w:sz w:val="24"/>
                <w:szCs w:val="24"/>
                <w:lang w:val="en-US" w:eastAsia="zh-CN"/>
              </w:rPr>
              <w:t>0</w:t>
            </w:r>
            <w:r>
              <w:rPr>
                <w:rFonts w:hint="default" w:ascii="Times New Roman" w:hAnsi="Times New Roman" w:eastAsia="宋体" w:cs="Times New Roman"/>
                <w:b w:val="0"/>
                <w:bCs w:val="0"/>
                <w:color w:val="auto"/>
                <w:sz w:val="24"/>
                <w:szCs w:val="24"/>
              </w:rPr>
              <w:t>%计（</w:t>
            </w:r>
            <w:r>
              <w:rPr>
                <w:rFonts w:hint="default" w:ascii="Times New Roman" w:hAnsi="Times New Roman" w:eastAsia="宋体" w:cs="Times New Roman"/>
                <w:b w:val="0"/>
                <w:bCs w:val="0"/>
                <w:color w:val="auto"/>
                <w:sz w:val="24"/>
                <w:szCs w:val="24"/>
                <w:lang w:val="en-US" w:eastAsia="zh-CN"/>
              </w:rPr>
              <w:t>6.4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default" w:ascii="Times New Roman" w:hAnsi="Times New Roman" w:eastAsia="宋体" w:cs="Times New Roman"/>
                <w:b w:val="0"/>
                <w:bCs w:val="0"/>
                <w:color w:val="auto"/>
                <w:sz w:val="24"/>
                <w:szCs w:val="24"/>
              </w:rPr>
              <w:t>），可以满足本项目危险废物暂存需要。本项目各类危险废物暂存情况及占地面积分析见</w:t>
            </w:r>
            <w:r>
              <w:rPr>
                <w:rFonts w:hint="default" w:ascii="Times New Roman" w:hAnsi="Times New Roman" w:eastAsia="宋体" w:cs="Times New Roman"/>
                <w:b w:val="0"/>
                <w:bCs w:val="0"/>
                <w:color w:val="auto"/>
                <w:sz w:val="24"/>
                <w:szCs w:val="24"/>
                <w:lang w:val="en-US" w:eastAsia="zh-CN"/>
              </w:rPr>
              <w:t>下表</w:t>
            </w:r>
            <w:r>
              <w:rPr>
                <w:rFonts w:hint="default" w:ascii="Times New Roman" w:hAnsi="Times New Roman" w:eastAsia="宋体" w:cs="Times New Roman"/>
                <w:b w:val="0"/>
                <w:bCs w:val="0"/>
                <w:color w:val="auto"/>
                <w:sz w:val="24"/>
                <w:szCs w:val="24"/>
              </w:rPr>
              <w:t>。</w:t>
            </w:r>
          </w:p>
          <w:p w14:paraId="3A1F1BE3">
            <w:pPr>
              <w:snapToGrid w:val="0"/>
              <w:spacing w:line="240" w:lineRule="auto"/>
              <w:ind w:firstLine="361"/>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表4.4-4 建设项目危险废物暂存情况及占地面积一览表</w:t>
            </w:r>
          </w:p>
          <w:tbl>
            <w:tblPr>
              <w:tblStyle w:val="260"/>
              <w:tblW w:w="4905"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363"/>
              <w:gridCol w:w="1360"/>
              <w:gridCol w:w="695"/>
              <w:gridCol w:w="1088"/>
              <w:gridCol w:w="1065"/>
              <w:gridCol w:w="1277"/>
              <w:gridCol w:w="755"/>
              <w:gridCol w:w="1095"/>
              <w:gridCol w:w="845"/>
              <w:gridCol w:w="848"/>
            </w:tblGrid>
            <w:tr w14:paraId="50CD31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noWrap w:val="0"/>
                  <w:vAlign w:val="center"/>
                </w:tcPr>
                <w:p w14:paraId="3CCADC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序号</w:t>
                  </w:r>
                </w:p>
              </w:tc>
              <w:tc>
                <w:tcPr>
                  <w:tcW w:w="724" w:type="pct"/>
                  <w:tcBorders>
                    <w:tl2br w:val="nil"/>
                    <w:tr2bl w:val="nil"/>
                  </w:tcBorders>
                  <w:noWrap w:val="0"/>
                  <w:vAlign w:val="center"/>
                </w:tcPr>
                <w:p w14:paraId="090EE6B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危废名称</w:t>
                  </w:r>
                </w:p>
              </w:tc>
              <w:tc>
                <w:tcPr>
                  <w:tcW w:w="370" w:type="pct"/>
                  <w:tcBorders>
                    <w:tl2br w:val="nil"/>
                    <w:tr2bl w:val="nil"/>
                  </w:tcBorders>
                  <w:noWrap w:val="0"/>
                  <w:vAlign w:val="center"/>
                </w:tcPr>
                <w:p w14:paraId="260B9B8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危废类别</w:t>
                  </w:r>
                </w:p>
              </w:tc>
              <w:tc>
                <w:tcPr>
                  <w:tcW w:w="579" w:type="pct"/>
                  <w:tcBorders>
                    <w:tl2br w:val="nil"/>
                    <w:tr2bl w:val="nil"/>
                  </w:tcBorders>
                  <w:noWrap w:val="0"/>
                  <w:vAlign w:val="center"/>
                </w:tcPr>
                <w:p w14:paraId="3ABF3AF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危废代码</w:t>
                  </w:r>
                </w:p>
              </w:tc>
              <w:tc>
                <w:tcPr>
                  <w:tcW w:w="567" w:type="pct"/>
                  <w:tcBorders>
                    <w:tl2br w:val="nil"/>
                    <w:tr2bl w:val="nil"/>
                  </w:tcBorders>
                  <w:noWrap w:val="0"/>
                  <w:vAlign w:val="center"/>
                </w:tcPr>
                <w:p w14:paraId="6BC20B76">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产生量（t/a）</w:t>
                  </w:r>
                </w:p>
              </w:tc>
              <w:tc>
                <w:tcPr>
                  <w:tcW w:w="680" w:type="pct"/>
                  <w:tcBorders>
                    <w:tl2br w:val="nil"/>
                    <w:tr2bl w:val="nil"/>
                  </w:tcBorders>
                  <w:noWrap w:val="0"/>
                  <w:vAlign w:val="center"/>
                </w:tcPr>
                <w:p w14:paraId="6BD2E0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产生工序</w:t>
                  </w:r>
                </w:p>
              </w:tc>
              <w:tc>
                <w:tcPr>
                  <w:tcW w:w="400" w:type="pct"/>
                  <w:tcBorders>
                    <w:tl2br w:val="nil"/>
                    <w:tr2bl w:val="nil"/>
                  </w:tcBorders>
                  <w:noWrap w:val="0"/>
                  <w:vAlign w:val="center"/>
                </w:tcPr>
                <w:p w14:paraId="5ED698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产废周期</w:t>
                  </w:r>
                </w:p>
              </w:tc>
              <w:tc>
                <w:tcPr>
                  <w:tcW w:w="583" w:type="pct"/>
                  <w:tcBorders>
                    <w:tl2br w:val="nil"/>
                    <w:tr2bl w:val="nil"/>
                  </w:tcBorders>
                  <w:noWrap w:val="0"/>
                  <w:vAlign w:val="center"/>
                </w:tcPr>
                <w:p w14:paraId="46E5BE88">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最大贮存量</w:t>
                  </w:r>
                </w:p>
                <w:p w14:paraId="447D1A6F">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（90d计）</w:t>
                  </w:r>
                </w:p>
              </w:tc>
              <w:tc>
                <w:tcPr>
                  <w:tcW w:w="450" w:type="pct"/>
                  <w:tcBorders>
                    <w:tl2br w:val="nil"/>
                    <w:tr2bl w:val="nil"/>
                  </w:tcBorders>
                  <w:noWrap w:val="0"/>
                  <w:vAlign w:val="center"/>
                </w:tcPr>
                <w:p w14:paraId="6BAB454D">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lang w:val="en-US" w:eastAsia="zh-CN"/>
                    </w:rPr>
                  </w:pPr>
                  <w:r>
                    <w:rPr>
                      <w:rFonts w:hint="default" w:ascii="Times New Roman" w:hAnsi="Times New Roman" w:eastAsia="宋体" w:cs="Times New Roman"/>
                      <w:b/>
                      <w:bCs/>
                      <w:color w:val="auto"/>
                      <w:spacing w:val="0"/>
                      <w:kern w:val="0"/>
                      <w:sz w:val="21"/>
                      <w:szCs w:val="21"/>
                    </w:rPr>
                    <w:t>占地面积m</w:t>
                  </w:r>
                  <w:r>
                    <w:rPr>
                      <w:rFonts w:hint="default" w:ascii="Times New Roman" w:hAnsi="Times New Roman" w:eastAsia="宋体" w:cs="Times New Roman"/>
                      <w:b/>
                      <w:bCs/>
                      <w:color w:val="auto"/>
                      <w:spacing w:val="0"/>
                      <w:kern w:val="0"/>
                      <w:sz w:val="21"/>
                      <w:szCs w:val="21"/>
                      <w:vertAlign w:val="superscript"/>
                      <w:lang w:val="en-US" w:eastAsia="zh-CN"/>
                    </w:rPr>
                    <w:t>2</w:t>
                  </w:r>
                </w:p>
              </w:tc>
              <w:tc>
                <w:tcPr>
                  <w:tcW w:w="451" w:type="pct"/>
                  <w:tcBorders>
                    <w:tl2br w:val="nil"/>
                    <w:tr2bl w:val="nil"/>
                  </w:tcBorders>
                  <w:noWrap w:val="0"/>
                  <w:vAlign w:val="center"/>
                </w:tcPr>
                <w:p w14:paraId="729EE6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color w:val="auto"/>
                      <w:spacing w:val="0"/>
                      <w:kern w:val="0"/>
                      <w:sz w:val="21"/>
                      <w:szCs w:val="21"/>
                    </w:rPr>
                  </w:pPr>
                  <w:r>
                    <w:rPr>
                      <w:rFonts w:hint="default" w:ascii="Times New Roman" w:hAnsi="Times New Roman" w:eastAsia="宋体" w:cs="Times New Roman"/>
                      <w:b/>
                      <w:bCs/>
                      <w:color w:val="auto"/>
                      <w:spacing w:val="0"/>
                      <w:kern w:val="0"/>
                      <w:sz w:val="21"/>
                      <w:szCs w:val="21"/>
                    </w:rPr>
                    <w:t>贮存方式</w:t>
                  </w:r>
                </w:p>
              </w:tc>
            </w:tr>
            <w:tr w14:paraId="256283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59E22B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24" w:type="pct"/>
                  <w:tcBorders>
                    <w:tl2br w:val="nil"/>
                    <w:tr2bl w:val="nil"/>
                  </w:tcBorders>
                  <w:shd w:val="clear" w:color="auto" w:fill="auto"/>
                  <w:noWrap w:val="0"/>
                  <w:vAlign w:val="center"/>
                </w:tcPr>
                <w:p w14:paraId="3EE9DA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废齿轮油</w:t>
                  </w:r>
                </w:p>
              </w:tc>
              <w:tc>
                <w:tcPr>
                  <w:tcW w:w="370" w:type="pct"/>
                  <w:tcBorders>
                    <w:tl2br w:val="nil"/>
                    <w:tr2bl w:val="nil"/>
                  </w:tcBorders>
                  <w:shd w:val="clear" w:color="auto" w:fill="auto"/>
                  <w:noWrap w:val="0"/>
                  <w:vAlign w:val="center"/>
                </w:tcPr>
                <w:p w14:paraId="2FCBB0A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HW08</w:t>
                  </w:r>
                </w:p>
              </w:tc>
              <w:tc>
                <w:tcPr>
                  <w:tcW w:w="579" w:type="pct"/>
                  <w:tcBorders>
                    <w:tl2br w:val="nil"/>
                    <w:tr2bl w:val="nil"/>
                  </w:tcBorders>
                  <w:shd w:val="clear" w:color="auto" w:fill="auto"/>
                  <w:noWrap w:val="0"/>
                  <w:vAlign w:val="center"/>
                </w:tcPr>
                <w:p w14:paraId="69880E9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900-217-08</w:t>
                  </w:r>
                </w:p>
              </w:tc>
              <w:tc>
                <w:tcPr>
                  <w:tcW w:w="567" w:type="pct"/>
                  <w:tcBorders>
                    <w:tl2br w:val="nil"/>
                    <w:tr2bl w:val="nil"/>
                  </w:tcBorders>
                  <w:shd w:val="clear" w:color="auto" w:fill="auto"/>
                  <w:noWrap w:val="0"/>
                  <w:vAlign w:val="center"/>
                </w:tcPr>
                <w:p w14:paraId="547109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680" w:type="pct"/>
                  <w:tcBorders>
                    <w:tl2br w:val="nil"/>
                    <w:tr2bl w:val="nil"/>
                  </w:tcBorders>
                  <w:shd w:val="clear" w:color="auto" w:fill="auto"/>
                  <w:noWrap w:val="0"/>
                  <w:vAlign w:val="center"/>
                </w:tcPr>
                <w:p w14:paraId="23A6FB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400" w:type="pct"/>
                  <w:tcBorders>
                    <w:tl2br w:val="nil"/>
                    <w:tr2bl w:val="nil"/>
                  </w:tcBorders>
                  <w:shd w:val="clear" w:color="auto" w:fill="auto"/>
                  <w:noWrap w:val="0"/>
                  <w:vAlign w:val="center"/>
                </w:tcPr>
                <w:p w14:paraId="4041637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每月</w:t>
                  </w:r>
                </w:p>
              </w:tc>
              <w:tc>
                <w:tcPr>
                  <w:tcW w:w="1115" w:type="dxa"/>
                  <w:tcBorders>
                    <w:tl2br w:val="nil"/>
                    <w:tr2bl w:val="nil"/>
                  </w:tcBorders>
                  <w:noWrap w:val="0"/>
                  <w:vAlign w:val="center"/>
                </w:tcPr>
                <w:p w14:paraId="304E20E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pacing w:val="0"/>
                      <w:kern w:val="0"/>
                      <w:sz w:val="21"/>
                      <w:szCs w:val="21"/>
                      <w:lang w:val="en-US"/>
                    </w:rPr>
                  </w:pPr>
                  <w:r>
                    <w:rPr>
                      <w:rFonts w:hint="default" w:ascii="Times New Roman" w:hAnsi="Times New Roman" w:eastAsia="宋体" w:cs="Times New Roman"/>
                      <w:i w:val="0"/>
                      <w:iCs w:val="0"/>
                      <w:color w:val="auto"/>
                      <w:kern w:val="0"/>
                      <w:sz w:val="22"/>
                      <w:szCs w:val="22"/>
                      <w:u w:val="none"/>
                      <w:lang w:val="en-US" w:eastAsia="zh-CN" w:bidi="ar"/>
                    </w:rPr>
                    <w:t>0.025</w:t>
                  </w:r>
                </w:p>
              </w:tc>
              <w:tc>
                <w:tcPr>
                  <w:tcW w:w="450" w:type="pct"/>
                  <w:tcBorders>
                    <w:tl2br w:val="nil"/>
                    <w:tr2bl w:val="nil"/>
                  </w:tcBorders>
                  <w:noWrap w:val="0"/>
                  <w:vAlign w:val="center"/>
                </w:tcPr>
                <w:p w14:paraId="736C84B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spacing w:val="0"/>
                      <w:kern w:val="0"/>
                      <w:sz w:val="21"/>
                      <w:szCs w:val="21"/>
                      <w:lang w:val="en-US"/>
                    </w:rPr>
                  </w:pPr>
                  <w:r>
                    <w:rPr>
                      <w:rFonts w:hint="default" w:ascii="Times New Roman" w:hAnsi="Times New Roman" w:eastAsia="宋体" w:cs="Times New Roman"/>
                      <w:i w:val="0"/>
                      <w:iCs w:val="0"/>
                      <w:color w:val="auto"/>
                      <w:spacing w:val="0"/>
                      <w:kern w:val="0"/>
                      <w:sz w:val="21"/>
                      <w:szCs w:val="21"/>
                      <w:u w:val="none"/>
                      <w:lang w:val="en-US" w:eastAsia="zh-CN" w:bidi="ar"/>
                    </w:rPr>
                    <w:t>0.5</w:t>
                  </w:r>
                </w:p>
              </w:tc>
              <w:tc>
                <w:tcPr>
                  <w:tcW w:w="451" w:type="pct"/>
                  <w:tcBorders>
                    <w:tl2br w:val="nil"/>
                    <w:tr2bl w:val="nil"/>
                  </w:tcBorders>
                  <w:noWrap w:val="0"/>
                  <w:vAlign w:val="center"/>
                </w:tcPr>
                <w:p w14:paraId="55770F1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缠绕膜包装</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lang w:val="en-US" w:eastAsia="zh-CN"/>
                    </w:rPr>
                    <w:t>托盘</w:t>
                  </w:r>
                </w:p>
              </w:tc>
            </w:tr>
            <w:tr w14:paraId="36B689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7DCD5A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724" w:type="pct"/>
                  <w:tcBorders>
                    <w:tl2br w:val="nil"/>
                    <w:tr2bl w:val="nil"/>
                  </w:tcBorders>
                  <w:shd w:val="clear" w:color="auto" w:fill="auto"/>
                  <w:noWrap w:val="0"/>
                  <w:vAlign w:val="center"/>
                </w:tcPr>
                <w:p w14:paraId="62CAB9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冷却废液</w:t>
                  </w:r>
                </w:p>
              </w:tc>
              <w:tc>
                <w:tcPr>
                  <w:tcW w:w="370" w:type="pct"/>
                  <w:tcBorders>
                    <w:tl2br w:val="nil"/>
                    <w:tr2bl w:val="nil"/>
                  </w:tcBorders>
                  <w:shd w:val="clear" w:color="auto" w:fill="auto"/>
                  <w:noWrap w:val="0"/>
                  <w:vAlign w:val="center"/>
                </w:tcPr>
                <w:p w14:paraId="59DD5CD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579" w:type="pct"/>
                  <w:tcBorders>
                    <w:tl2br w:val="nil"/>
                    <w:tr2bl w:val="nil"/>
                  </w:tcBorders>
                  <w:shd w:val="clear" w:color="auto" w:fill="auto"/>
                  <w:noWrap w:val="0"/>
                  <w:vAlign w:val="center"/>
                </w:tcPr>
                <w:p w14:paraId="39E9CE2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w:t>
                  </w:r>
                  <w:r>
                    <w:rPr>
                      <w:rFonts w:hint="eastAsia" w:cs="Times New Roman"/>
                      <w:color w:val="auto"/>
                      <w:sz w:val="21"/>
                      <w:szCs w:val="21"/>
                      <w:lang w:val="en-US" w:eastAsia="zh-CN"/>
                    </w:rPr>
                    <w:t>41</w:t>
                  </w:r>
                  <w:r>
                    <w:rPr>
                      <w:rFonts w:hint="default" w:ascii="Times New Roman" w:hAnsi="Times New Roman" w:eastAsia="宋体" w:cs="Times New Roman"/>
                      <w:color w:val="auto"/>
                      <w:sz w:val="21"/>
                      <w:szCs w:val="21"/>
                      <w:lang w:val="en-US" w:eastAsia="zh-CN"/>
                    </w:rPr>
                    <w:t>-49</w:t>
                  </w:r>
                </w:p>
              </w:tc>
              <w:tc>
                <w:tcPr>
                  <w:tcW w:w="567" w:type="pct"/>
                  <w:tcBorders>
                    <w:tl2br w:val="nil"/>
                    <w:tr2bl w:val="nil"/>
                  </w:tcBorders>
                  <w:shd w:val="clear" w:color="auto" w:fill="auto"/>
                  <w:noWrap w:val="0"/>
                  <w:vAlign w:val="center"/>
                </w:tcPr>
                <w:p w14:paraId="2863E5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680" w:type="pct"/>
                  <w:tcBorders>
                    <w:tl2br w:val="nil"/>
                    <w:tr2bl w:val="nil"/>
                  </w:tcBorders>
                  <w:shd w:val="clear" w:color="auto" w:fill="auto"/>
                  <w:noWrap w:val="0"/>
                  <w:vAlign w:val="center"/>
                </w:tcPr>
                <w:p w14:paraId="702C71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冷却</w:t>
                  </w:r>
                </w:p>
              </w:tc>
              <w:tc>
                <w:tcPr>
                  <w:tcW w:w="400" w:type="pct"/>
                  <w:tcBorders>
                    <w:tl2br w:val="nil"/>
                    <w:tr2bl w:val="nil"/>
                  </w:tcBorders>
                  <w:shd w:val="clear" w:color="auto" w:fill="auto"/>
                  <w:noWrap w:val="0"/>
                  <w:vAlign w:val="center"/>
                </w:tcPr>
                <w:p w14:paraId="35BFA7A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每三个月</w:t>
                  </w:r>
                </w:p>
              </w:tc>
              <w:tc>
                <w:tcPr>
                  <w:tcW w:w="1115" w:type="dxa"/>
                  <w:tcBorders>
                    <w:tl2br w:val="nil"/>
                    <w:tr2bl w:val="nil"/>
                  </w:tcBorders>
                  <w:shd w:val="clear" w:color="auto" w:fill="auto"/>
                  <w:noWrap w:val="0"/>
                  <w:vAlign w:val="center"/>
                </w:tcPr>
                <w:p w14:paraId="59CE33B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0.5</w:t>
                  </w:r>
                </w:p>
              </w:tc>
              <w:tc>
                <w:tcPr>
                  <w:tcW w:w="450" w:type="pct"/>
                  <w:tcBorders>
                    <w:tl2br w:val="nil"/>
                    <w:tr2bl w:val="nil"/>
                  </w:tcBorders>
                  <w:shd w:val="clear" w:color="auto" w:fill="auto"/>
                  <w:noWrap w:val="0"/>
                  <w:vAlign w:val="center"/>
                </w:tcPr>
                <w:p w14:paraId="4887BC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cs="Times New Roman"/>
                      <w:i w:val="0"/>
                      <w:iCs w:val="0"/>
                      <w:color w:val="auto"/>
                      <w:spacing w:val="0"/>
                      <w:kern w:val="0"/>
                      <w:sz w:val="21"/>
                      <w:szCs w:val="21"/>
                      <w:u w:val="none"/>
                      <w:lang w:val="en-US" w:eastAsia="zh-CN" w:bidi="ar"/>
                    </w:rPr>
                    <w:t>1</w:t>
                  </w:r>
                </w:p>
              </w:tc>
              <w:tc>
                <w:tcPr>
                  <w:tcW w:w="451" w:type="pct"/>
                  <w:tcBorders>
                    <w:tl2br w:val="nil"/>
                    <w:tr2bl w:val="nil"/>
                  </w:tcBorders>
                  <w:shd w:val="clear" w:color="auto" w:fill="auto"/>
                  <w:noWrap w:val="0"/>
                  <w:vAlign w:val="center"/>
                </w:tcPr>
                <w:p w14:paraId="2D509DB6">
                  <w:pPr>
                    <w:pStyle w:val="37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lang w:val="en-US" w:eastAsia="en-US" w:bidi="ar-SA"/>
                    </w:rPr>
                  </w:pPr>
                  <w:r>
                    <w:rPr>
                      <w:rFonts w:hint="default" w:ascii="Times New Roman" w:hAnsi="Times New Roman" w:eastAsia="宋体" w:cs="Times New Roman"/>
                      <w:color w:val="auto"/>
                      <w:spacing w:val="0"/>
                      <w:kern w:val="0"/>
                      <w:sz w:val="21"/>
                      <w:szCs w:val="21"/>
                    </w:rPr>
                    <w:t>袋/桶</w:t>
                  </w:r>
                </w:p>
              </w:tc>
            </w:tr>
            <w:tr w14:paraId="71CF6C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266362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724" w:type="pct"/>
                  <w:tcBorders>
                    <w:tl2br w:val="nil"/>
                    <w:tr2bl w:val="nil"/>
                  </w:tcBorders>
                  <w:shd w:val="clear" w:color="auto" w:fill="auto"/>
                  <w:noWrap w:val="0"/>
                  <w:vAlign w:val="center"/>
                </w:tcPr>
                <w:p w14:paraId="351F52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废包装桶</w:t>
                  </w:r>
                </w:p>
              </w:tc>
              <w:tc>
                <w:tcPr>
                  <w:tcW w:w="370" w:type="pct"/>
                  <w:tcBorders>
                    <w:tl2br w:val="nil"/>
                    <w:tr2bl w:val="nil"/>
                  </w:tcBorders>
                  <w:shd w:val="clear" w:color="auto" w:fill="auto"/>
                  <w:noWrap w:val="0"/>
                  <w:vAlign w:val="center"/>
                </w:tcPr>
                <w:p w14:paraId="0A0FDF3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579" w:type="pct"/>
                  <w:tcBorders>
                    <w:tl2br w:val="nil"/>
                    <w:tr2bl w:val="nil"/>
                  </w:tcBorders>
                  <w:shd w:val="clear" w:color="auto" w:fill="auto"/>
                  <w:noWrap w:val="0"/>
                  <w:vAlign w:val="center"/>
                </w:tcPr>
                <w:p w14:paraId="3B6D898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900-041-49</w:t>
                  </w:r>
                </w:p>
              </w:tc>
              <w:tc>
                <w:tcPr>
                  <w:tcW w:w="567" w:type="pct"/>
                  <w:tcBorders>
                    <w:tl2br w:val="nil"/>
                    <w:tr2bl w:val="nil"/>
                  </w:tcBorders>
                  <w:shd w:val="clear" w:color="auto" w:fill="auto"/>
                  <w:noWrap w:val="0"/>
                  <w:vAlign w:val="center"/>
                </w:tcPr>
                <w:p w14:paraId="74FF90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w:t>
                  </w:r>
                </w:p>
              </w:tc>
              <w:tc>
                <w:tcPr>
                  <w:tcW w:w="680" w:type="pct"/>
                  <w:tcBorders>
                    <w:tl2br w:val="nil"/>
                    <w:tr2bl w:val="nil"/>
                  </w:tcBorders>
                  <w:shd w:val="clear" w:color="auto" w:fill="auto"/>
                  <w:noWrap w:val="0"/>
                  <w:vAlign w:val="center"/>
                </w:tcPr>
                <w:p w14:paraId="27919F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包装材料</w:t>
                  </w:r>
                </w:p>
              </w:tc>
              <w:tc>
                <w:tcPr>
                  <w:tcW w:w="400" w:type="pct"/>
                  <w:tcBorders>
                    <w:tl2br w:val="nil"/>
                    <w:tr2bl w:val="nil"/>
                  </w:tcBorders>
                  <w:shd w:val="clear" w:color="auto" w:fill="auto"/>
                  <w:noWrap w:val="0"/>
                  <w:vAlign w:val="center"/>
                </w:tcPr>
                <w:p w14:paraId="29301A0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每月</w:t>
                  </w:r>
                </w:p>
              </w:tc>
              <w:tc>
                <w:tcPr>
                  <w:tcW w:w="1115" w:type="dxa"/>
                  <w:tcBorders>
                    <w:tl2br w:val="nil"/>
                    <w:tr2bl w:val="nil"/>
                  </w:tcBorders>
                  <w:noWrap w:val="0"/>
                  <w:vAlign w:val="center"/>
                </w:tcPr>
                <w:p w14:paraId="2D3DA53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1</w:t>
                  </w:r>
                </w:p>
              </w:tc>
              <w:tc>
                <w:tcPr>
                  <w:tcW w:w="450" w:type="pct"/>
                  <w:tcBorders>
                    <w:tl2br w:val="nil"/>
                    <w:tr2bl w:val="nil"/>
                  </w:tcBorders>
                  <w:noWrap w:val="0"/>
                  <w:vAlign w:val="center"/>
                </w:tcPr>
                <w:p w14:paraId="6E17AC2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i w:val="0"/>
                      <w:iCs w:val="0"/>
                      <w:color w:val="auto"/>
                      <w:spacing w:val="0"/>
                      <w:kern w:val="0"/>
                      <w:sz w:val="21"/>
                      <w:szCs w:val="21"/>
                      <w:u w:val="none"/>
                      <w:lang w:val="en-US" w:eastAsia="zh-CN" w:bidi="ar"/>
                    </w:rPr>
                    <w:t>2</w:t>
                  </w:r>
                </w:p>
              </w:tc>
              <w:tc>
                <w:tcPr>
                  <w:tcW w:w="451" w:type="pct"/>
                  <w:tcBorders>
                    <w:tl2br w:val="nil"/>
                    <w:tr2bl w:val="nil"/>
                  </w:tcBorders>
                  <w:noWrap w:val="0"/>
                  <w:vAlign w:val="center"/>
                </w:tcPr>
                <w:p w14:paraId="29E259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桶装</w:t>
                  </w:r>
                </w:p>
              </w:tc>
            </w:tr>
            <w:tr w14:paraId="12563D2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12895D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724" w:type="pct"/>
                  <w:tcBorders>
                    <w:tl2br w:val="nil"/>
                    <w:tr2bl w:val="nil"/>
                  </w:tcBorders>
                  <w:shd w:val="clear" w:color="auto" w:fill="auto"/>
                  <w:noWrap w:val="0"/>
                  <w:vAlign w:val="center"/>
                </w:tcPr>
                <w:p w14:paraId="608870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废活性炭</w:t>
                  </w:r>
                </w:p>
              </w:tc>
              <w:tc>
                <w:tcPr>
                  <w:tcW w:w="370" w:type="pct"/>
                  <w:tcBorders>
                    <w:tl2br w:val="nil"/>
                    <w:tr2bl w:val="nil"/>
                  </w:tcBorders>
                  <w:shd w:val="clear" w:color="auto" w:fill="auto"/>
                  <w:noWrap w:val="0"/>
                  <w:vAlign w:val="center"/>
                </w:tcPr>
                <w:p w14:paraId="3455B77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579" w:type="pct"/>
                  <w:tcBorders>
                    <w:tl2br w:val="nil"/>
                    <w:tr2bl w:val="nil"/>
                  </w:tcBorders>
                  <w:shd w:val="clear" w:color="auto" w:fill="auto"/>
                  <w:noWrap w:val="0"/>
                  <w:vAlign w:val="center"/>
                </w:tcPr>
                <w:p w14:paraId="5D0FBD0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900-039-49</w:t>
                  </w:r>
                </w:p>
              </w:tc>
              <w:tc>
                <w:tcPr>
                  <w:tcW w:w="567" w:type="pct"/>
                  <w:tcBorders>
                    <w:tl2br w:val="nil"/>
                    <w:tr2bl w:val="nil"/>
                  </w:tcBorders>
                  <w:shd w:val="clear" w:color="auto" w:fill="auto"/>
                  <w:noWrap w:val="0"/>
                  <w:vAlign w:val="center"/>
                </w:tcPr>
                <w:p w14:paraId="284619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2.6</w:t>
                  </w:r>
                </w:p>
              </w:tc>
              <w:tc>
                <w:tcPr>
                  <w:tcW w:w="680" w:type="pct"/>
                  <w:tcBorders>
                    <w:tl2br w:val="nil"/>
                    <w:tr2bl w:val="nil"/>
                  </w:tcBorders>
                  <w:shd w:val="clear" w:color="auto" w:fill="auto"/>
                  <w:noWrap w:val="0"/>
                  <w:vAlign w:val="center"/>
                </w:tcPr>
                <w:p w14:paraId="51B6884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400" w:type="pct"/>
                  <w:tcBorders>
                    <w:tl2br w:val="nil"/>
                    <w:tr2bl w:val="nil"/>
                  </w:tcBorders>
                  <w:shd w:val="clear" w:color="auto" w:fill="auto"/>
                  <w:noWrap w:val="0"/>
                  <w:vAlign w:val="center"/>
                </w:tcPr>
                <w:p w14:paraId="1EB75AE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每三个月</w:t>
                  </w:r>
                </w:p>
              </w:tc>
              <w:tc>
                <w:tcPr>
                  <w:tcW w:w="1115" w:type="dxa"/>
                  <w:tcBorders>
                    <w:tl2br w:val="nil"/>
                    <w:tr2bl w:val="nil"/>
                  </w:tcBorders>
                  <w:noWrap w:val="0"/>
                  <w:vAlign w:val="center"/>
                </w:tcPr>
                <w:p w14:paraId="03C7381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0.65</w:t>
                  </w:r>
                </w:p>
              </w:tc>
              <w:tc>
                <w:tcPr>
                  <w:tcW w:w="450" w:type="pct"/>
                  <w:tcBorders>
                    <w:tl2br w:val="nil"/>
                    <w:tr2bl w:val="nil"/>
                  </w:tcBorders>
                  <w:noWrap w:val="0"/>
                  <w:vAlign w:val="center"/>
                </w:tcPr>
                <w:p w14:paraId="53ABA8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c>
                <w:tcPr>
                  <w:tcW w:w="451" w:type="pct"/>
                  <w:tcBorders>
                    <w:tl2br w:val="nil"/>
                    <w:tr2bl w:val="nil"/>
                  </w:tcBorders>
                  <w:shd w:val="clear" w:color="auto" w:fill="auto"/>
                  <w:noWrap w:val="0"/>
                  <w:vAlign w:val="center"/>
                </w:tcPr>
                <w:p w14:paraId="415EB4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桶装</w:t>
                  </w:r>
                </w:p>
              </w:tc>
            </w:tr>
            <w:tr w14:paraId="4A6374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74EF4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724" w:type="pct"/>
                  <w:tcBorders>
                    <w:tl2br w:val="nil"/>
                    <w:tr2bl w:val="nil"/>
                  </w:tcBorders>
                  <w:shd w:val="clear" w:color="auto" w:fill="auto"/>
                  <w:noWrap w:val="0"/>
                  <w:vAlign w:val="center"/>
                </w:tcPr>
                <w:p w14:paraId="565806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废抹布手套</w:t>
                  </w:r>
                </w:p>
              </w:tc>
              <w:tc>
                <w:tcPr>
                  <w:tcW w:w="370" w:type="pct"/>
                  <w:tcBorders>
                    <w:tl2br w:val="nil"/>
                    <w:tr2bl w:val="nil"/>
                  </w:tcBorders>
                  <w:shd w:val="clear" w:color="auto" w:fill="auto"/>
                  <w:noWrap w:val="0"/>
                  <w:vAlign w:val="center"/>
                </w:tcPr>
                <w:p w14:paraId="1FEF981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HW49</w:t>
                  </w:r>
                </w:p>
              </w:tc>
              <w:tc>
                <w:tcPr>
                  <w:tcW w:w="579" w:type="pct"/>
                  <w:tcBorders>
                    <w:tl2br w:val="nil"/>
                    <w:tr2bl w:val="nil"/>
                  </w:tcBorders>
                  <w:shd w:val="clear" w:color="auto" w:fill="auto"/>
                  <w:noWrap w:val="0"/>
                  <w:vAlign w:val="center"/>
                </w:tcPr>
                <w:p w14:paraId="0CA0D20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900-0</w:t>
                  </w:r>
                  <w:r>
                    <w:rPr>
                      <w:rFonts w:hint="eastAsia" w:cs="Times New Roman"/>
                      <w:color w:val="auto"/>
                      <w:sz w:val="21"/>
                      <w:szCs w:val="21"/>
                      <w:lang w:val="en-US" w:eastAsia="zh-CN"/>
                    </w:rPr>
                    <w:t>41</w:t>
                  </w:r>
                  <w:r>
                    <w:rPr>
                      <w:rFonts w:hint="default" w:ascii="Times New Roman" w:hAnsi="Times New Roman" w:eastAsia="宋体" w:cs="Times New Roman"/>
                      <w:color w:val="auto"/>
                      <w:sz w:val="21"/>
                      <w:szCs w:val="21"/>
                      <w:lang w:val="en-US" w:eastAsia="zh-CN"/>
                    </w:rPr>
                    <w:t>-49</w:t>
                  </w:r>
                </w:p>
              </w:tc>
              <w:tc>
                <w:tcPr>
                  <w:tcW w:w="567" w:type="pct"/>
                  <w:tcBorders>
                    <w:tl2br w:val="nil"/>
                    <w:tr2bl w:val="nil"/>
                  </w:tcBorders>
                  <w:shd w:val="clear" w:color="auto" w:fill="auto"/>
                  <w:noWrap w:val="0"/>
                  <w:vAlign w:val="center"/>
                </w:tcPr>
                <w:p w14:paraId="6B817D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680" w:type="pct"/>
                  <w:tcBorders>
                    <w:tl2br w:val="nil"/>
                    <w:tr2bl w:val="nil"/>
                  </w:tcBorders>
                  <w:shd w:val="clear" w:color="auto" w:fill="auto"/>
                  <w:noWrap w:val="0"/>
                  <w:vAlign w:val="center"/>
                </w:tcPr>
                <w:p w14:paraId="5E1F07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设备保养</w:t>
                  </w:r>
                </w:p>
              </w:tc>
              <w:tc>
                <w:tcPr>
                  <w:tcW w:w="400" w:type="pct"/>
                  <w:tcBorders>
                    <w:tl2br w:val="nil"/>
                    <w:tr2bl w:val="nil"/>
                  </w:tcBorders>
                  <w:shd w:val="clear" w:color="auto" w:fill="auto"/>
                  <w:noWrap w:val="0"/>
                  <w:vAlign w:val="center"/>
                </w:tcPr>
                <w:p w14:paraId="0AD302D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每月</w:t>
                  </w:r>
                </w:p>
              </w:tc>
              <w:tc>
                <w:tcPr>
                  <w:tcW w:w="1115" w:type="dxa"/>
                  <w:tcBorders>
                    <w:tl2br w:val="nil"/>
                    <w:tr2bl w:val="nil"/>
                  </w:tcBorders>
                  <w:noWrap w:val="0"/>
                  <w:vAlign w:val="center"/>
                </w:tcPr>
                <w:p w14:paraId="6F75142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0.025</w:t>
                  </w:r>
                </w:p>
              </w:tc>
              <w:tc>
                <w:tcPr>
                  <w:tcW w:w="450" w:type="pct"/>
                  <w:tcBorders>
                    <w:tl2br w:val="nil"/>
                    <w:tr2bl w:val="nil"/>
                  </w:tcBorders>
                  <w:noWrap w:val="0"/>
                  <w:vAlign w:val="center"/>
                </w:tcPr>
                <w:p w14:paraId="044323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0.5</w:t>
                  </w:r>
                </w:p>
              </w:tc>
              <w:tc>
                <w:tcPr>
                  <w:tcW w:w="451" w:type="pct"/>
                  <w:tcBorders>
                    <w:tl2br w:val="nil"/>
                    <w:tr2bl w:val="nil"/>
                  </w:tcBorders>
                  <w:shd w:val="clear" w:color="auto" w:fill="auto"/>
                  <w:noWrap w:val="0"/>
                  <w:vAlign w:val="center"/>
                </w:tcPr>
                <w:p w14:paraId="5C4A8B95">
                  <w:pPr>
                    <w:pStyle w:val="37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袋/桶</w:t>
                  </w:r>
                </w:p>
              </w:tc>
            </w:tr>
            <w:tr w14:paraId="0CE1AF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31B9A0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w:t>
                  </w:r>
                </w:p>
              </w:tc>
              <w:tc>
                <w:tcPr>
                  <w:tcW w:w="724" w:type="pct"/>
                  <w:tcBorders>
                    <w:tl2br w:val="nil"/>
                    <w:tr2bl w:val="nil"/>
                  </w:tcBorders>
                  <w:shd w:val="clear" w:color="auto" w:fill="auto"/>
                  <w:noWrap w:val="0"/>
                  <w:vAlign w:val="center"/>
                </w:tcPr>
                <w:p w14:paraId="37FAD6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沾染含大豆油的废布袋</w:t>
                  </w:r>
                </w:p>
              </w:tc>
              <w:tc>
                <w:tcPr>
                  <w:tcW w:w="370" w:type="pct"/>
                  <w:tcBorders>
                    <w:tl2br w:val="nil"/>
                    <w:tr2bl w:val="nil"/>
                  </w:tcBorders>
                  <w:shd w:val="clear" w:color="auto" w:fill="auto"/>
                  <w:noWrap w:val="0"/>
                  <w:vAlign w:val="center"/>
                </w:tcPr>
                <w:p w14:paraId="25D437A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579" w:type="pct"/>
                  <w:tcBorders>
                    <w:tl2br w:val="nil"/>
                    <w:tr2bl w:val="nil"/>
                  </w:tcBorders>
                  <w:shd w:val="clear" w:color="auto" w:fill="auto"/>
                  <w:noWrap w:val="0"/>
                  <w:vAlign w:val="center"/>
                </w:tcPr>
                <w:p w14:paraId="143B3B2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567" w:type="pct"/>
                  <w:tcBorders>
                    <w:tl2br w:val="nil"/>
                    <w:tr2bl w:val="nil"/>
                  </w:tcBorders>
                  <w:shd w:val="clear" w:color="auto" w:fill="auto"/>
                  <w:noWrap w:val="0"/>
                  <w:vAlign w:val="center"/>
                </w:tcPr>
                <w:p w14:paraId="3681AC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680" w:type="pct"/>
                  <w:tcBorders>
                    <w:tl2br w:val="nil"/>
                    <w:tr2bl w:val="nil"/>
                  </w:tcBorders>
                  <w:shd w:val="clear" w:color="auto" w:fill="auto"/>
                  <w:noWrap w:val="0"/>
                  <w:vAlign w:val="center"/>
                </w:tcPr>
                <w:p w14:paraId="3B8E2A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400" w:type="pct"/>
                  <w:tcBorders>
                    <w:tl2br w:val="nil"/>
                    <w:tr2bl w:val="nil"/>
                  </w:tcBorders>
                  <w:shd w:val="clear" w:color="auto" w:fill="auto"/>
                  <w:noWrap w:val="0"/>
                  <w:vAlign w:val="center"/>
                </w:tcPr>
                <w:p w14:paraId="715369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每月</w:t>
                  </w:r>
                </w:p>
              </w:tc>
              <w:tc>
                <w:tcPr>
                  <w:tcW w:w="1115" w:type="dxa"/>
                  <w:tcBorders>
                    <w:tl2br w:val="nil"/>
                    <w:tr2bl w:val="nil"/>
                  </w:tcBorders>
                  <w:noWrap w:val="0"/>
                  <w:vAlign w:val="center"/>
                </w:tcPr>
                <w:p w14:paraId="0B0E8B3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0.075</w:t>
                  </w:r>
                </w:p>
              </w:tc>
              <w:tc>
                <w:tcPr>
                  <w:tcW w:w="450" w:type="pct"/>
                  <w:tcBorders>
                    <w:tl2br w:val="nil"/>
                    <w:tr2bl w:val="nil"/>
                  </w:tcBorders>
                  <w:noWrap w:val="0"/>
                  <w:vAlign w:val="center"/>
                </w:tcPr>
                <w:p w14:paraId="174D4F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cs="Times New Roman"/>
                      <w:i w:val="0"/>
                      <w:iCs w:val="0"/>
                      <w:color w:val="auto"/>
                      <w:spacing w:val="0"/>
                      <w:kern w:val="0"/>
                      <w:sz w:val="21"/>
                      <w:szCs w:val="21"/>
                      <w:u w:val="none"/>
                      <w:lang w:val="en-US" w:eastAsia="zh-CN" w:bidi="ar"/>
                    </w:rPr>
                    <w:t>0.5</w:t>
                  </w:r>
                </w:p>
              </w:tc>
              <w:tc>
                <w:tcPr>
                  <w:tcW w:w="451" w:type="pct"/>
                  <w:tcBorders>
                    <w:tl2br w:val="nil"/>
                    <w:tr2bl w:val="nil"/>
                  </w:tcBorders>
                  <w:shd w:val="clear" w:color="auto" w:fill="auto"/>
                  <w:noWrap w:val="0"/>
                  <w:vAlign w:val="center"/>
                </w:tcPr>
                <w:p w14:paraId="1034E856">
                  <w:pPr>
                    <w:pStyle w:val="37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袋</w:t>
                  </w:r>
                </w:p>
              </w:tc>
            </w:tr>
            <w:tr w14:paraId="474FB2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93" w:type="pct"/>
                  <w:tcBorders>
                    <w:tl2br w:val="nil"/>
                    <w:tr2bl w:val="nil"/>
                  </w:tcBorders>
                  <w:shd w:val="clear" w:color="auto" w:fill="auto"/>
                  <w:noWrap w:val="0"/>
                  <w:vAlign w:val="center"/>
                </w:tcPr>
                <w:p w14:paraId="5296EE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7</w:t>
                  </w:r>
                </w:p>
              </w:tc>
              <w:tc>
                <w:tcPr>
                  <w:tcW w:w="724" w:type="pct"/>
                  <w:tcBorders>
                    <w:tl2br w:val="nil"/>
                    <w:tr2bl w:val="nil"/>
                  </w:tcBorders>
                  <w:shd w:val="clear" w:color="auto" w:fill="auto"/>
                  <w:noWrap w:val="0"/>
                  <w:vAlign w:val="center"/>
                </w:tcPr>
                <w:p w14:paraId="754762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油泥</w:t>
                  </w:r>
                </w:p>
              </w:tc>
              <w:tc>
                <w:tcPr>
                  <w:tcW w:w="370" w:type="pct"/>
                  <w:tcBorders>
                    <w:tl2br w:val="nil"/>
                    <w:tr2bl w:val="nil"/>
                  </w:tcBorders>
                  <w:shd w:val="clear" w:color="auto" w:fill="auto"/>
                  <w:noWrap w:val="0"/>
                  <w:vAlign w:val="center"/>
                </w:tcPr>
                <w:p w14:paraId="3133025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579" w:type="pct"/>
                  <w:tcBorders>
                    <w:tl2br w:val="nil"/>
                    <w:tr2bl w:val="nil"/>
                  </w:tcBorders>
                  <w:shd w:val="clear" w:color="auto" w:fill="auto"/>
                  <w:noWrap w:val="0"/>
                  <w:vAlign w:val="center"/>
                </w:tcPr>
                <w:p w14:paraId="6514095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900-</w:t>
                  </w:r>
                  <w:r>
                    <w:rPr>
                      <w:rFonts w:hint="eastAsia" w:cs="Times New Roman"/>
                      <w:color w:val="auto"/>
                      <w:sz w:val="21"/>
                      <w:szCs w:val="21"/>
                      <w:lang w:val="en-US" w:eastAsia="zh-CN"/>
                    </w:rPr>
                    <w:t>041</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49</w:t>
                  </w:r>
                </w:p>
              </w:tc>
              <w:tc>
                <w:tcPr>
                  <w:tcW w:w="567" w:type="pct"/>
                  <w:tcBorders>
                    <w:tl2br w:val="nil"/>
                    <w:tr2bl w:val="nil"/>
                  </w:tcBorders>
                  <w:shd w:val="clear" w:color="auto" w:fill="auto"/>
                  <w:noWrap w:val="0"/>
                  <w:vAlign w:val="center"/>
                </w:tcPr>
                <w:p w14:paraId="4CCD31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0.4</w:t>
                  </w:r>
                </w:p>
              </w:tc>
              <w:tc>
                <w:tcPr>
                  <w:tcW w:w="680" w:type="pct"/>
                  <w:tcBorders>
                    <w:tl2br w:val="nil"/>
                    <w:tr2bl w:val="nil"/>
                  </w:tcBorders>
                  <w:shd w:val="clear" w:color="auto" w:fill="auto"/>
                  <w:noWrap w:val="0"/>
                  <w:vAlign w:val="center"/>
                </w:tcPr>
                <w:p w14:paraId="1E32066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废气处理</w:t>
                  </w:r>
                </w:p>
              </w:tc>
              <w:tc>
                <w:tcPr>
                  <w:tcW w:w="400" w:type="pct"/>
                  <w:tcBorders>
                    <w:tl2br w:val="nil"/>
                    <w:tr2bl w:val="nil"/>
                  </w:tcBorders>
                  <w:shd w:val="clear" w:color="auto" w:fill="auto"/>
                  <w:noWrap w:val="0"/>
                  <w:vAlign w:val="center"/>
                </w:tcPr>
                <w:p w14:paraId="431E92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每月</w:t>
                  </w:r>
                </w:p>
              </w:tc>
              <w:tc>
                <w:tcPr>
                  <w:tcW w:w="1115" w:type="dxa"/>
                  <w:tcBorders>
                    <w:tl2br w:val="nil"/>
                    <w:tr2bl w:val="nil"/>
                  </w:tcBorders>
                  <w:noWrap w:val="0"/>
                  <w:vAlign w:val="center"/>
                </w:tcPr>
                <w:p w14:paraId="5DC4E4E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0.1</w:t>
                  </w:r>
                </w:p>
              </w:tc>
              <w:tc>
                <w:tcPr>
                  <w:tcW w:w="450" w:type="pct"/>
                  <w:tcBorders>
                    <w:tl2br w:val="nil"/>
                    <w:tr2bl w:val="nil"/>
                  </w:tcBorders>
                  <w:noWrap w:val="0"/>
                  <w:vAlign w:val="center"/>
                </w:tcPr>
                <w:p w14:paraId="03D8C4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cs="Times New Roman"/>
                      <w:i w:val="0"/>
                      <w:iCs w:val="0"/>
                      <w:color w:val="auto"/>
                      <w:spacing w:val="0"/>
                      <w:kern w:val="0"/>
                      <w:sz w:val="21"/>
                      <w:szCs w:val="21"/>
                      <w:u w:val="none"/>
                      <w:lang w:val="en-US" w:eastAsia="zh-CN" w:bidi="ar"/>
                    </w:rPr>
                    <w:t>0.5</w:t>
                  </w:r>
                </w:p>
              </w:tc>
              <w:tc>
                <w:tcPr>
                  <w:tcW w:w="451" w:type="pct"/>
                  <w:tcBorders>
                    <w:tl2br w:val="nil"/>
                    <w:tr2bl w:val="nil"/>
                  </w:tcBorders>
                  <w:shd w:val="clear" w:color="auto" w:fill="auto"/>
                  <w:noWrap w:val="0"/>
                  <w:vAlign w:val="center"/>
                </w:tcPr>
                <w:p w14:paraId="7FD18953">
                  <w:pPr>
                    <w:pStyle w:val="37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袋/桶</w:t>
                  </w:r>
                </w:p>
              </w:tc>
            </w:tr>
            <w:tr w14:paraId="09A4E5C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515" w:type="pct"/>
                  <w:gridSpan w:val="7"/>
                  <w:tcBorders>
                    <w:tl2br w:val="nil"/>
                    <w:tr2bl w:val="nil"/>
                  </w:tcBorders>
                  <w:noWrap w:val="0"/>
                  <w:vAlign w:val="center"/>
                </w:tcPr>
                <w:p w14:paraId="22ECBAC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合计</w:t>
                  </w:r>
                </w:p>
              </w:tc>
              <w:tc>
                <w:tcPr>
                  <w:tcW w:w="583" w:type="pct"/>
                  <w:tcBorders>
                    <w:tl2br w:val="nil"/>
                    <w:tr2bl w:val="nil"/>
                  </w:tcBorders>
                  <w:noWrap w:val="0"/>
                  <w:vAlign w:val="center"/>
                </w:tcPr>
                <w:p w14:paraId="22B6C61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0"/>
                      <w:kern w:val="0"/>
                      <w:sz w:val="21"/>
                      <w:szCs w:val="21"/>
                      <w:lang w:val="en-US"/>
                    </w:rPr>
                  </w:pPr>
                  <w:r>
                    <w:rPr>
                      <w:rFonts w:hint="eastAsia" w:cs="Times New Roman"/>
                      <w:smallCaps w:val="0"/>
                      <w:color w:val="auto"/>
                      <w:spacing w:val="0"/>
                      <w:kern w:val="0"/>
                      <w:position w:val="0"/>
                      <w:sz w:val="21"/>
                      <w:szCs w:val="21"/>
                      <w:highlight w:val="none"/>
                      <w:lang w:val="en-US" w:eastAsia="zh-CN"/>
                    </w:rPr>
                    <w:t>2.375</w:t>
                  </w:r>
                </w:p>
              </w:tc>
              <w:tc>
                <w:tcPr>
                  <w:tcW w:w="450" w:type="pct"/>
                  <w:tcBorders>
                    <w:tl2br w:val="nil"/>
                    <w:tr2bl w:val="nil"/>
                  </w:tcBorders>
                  <w:noWrap w:val="0"/>
                  <w:vAlign w:val="center"/>
                </w:tcPr>
                <w:p w14:paraId="0DB50DB7">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0"/>
                      <w:kern w:val="0"/>
                      <w:sz w:val="21"/>
                      <w:szCs w:val="21"/>
                      <w:lang w:val="en-US" w:eastAsia="zh-CN"/>
                    </w:rPr>
                  </w:pPr>
                  <w:r>
                    <w:rPr>
                      <w:rFonts w:hint="eastAsia" w:ascii="Times New Roman" w:hAnsi="Times New Roman" w:cs="Times New Roman"/>
                      <w:color w:val="auto"/>
                      <w:spacing w:val="0"/>
                      <w:kern w:val="0"/>
                      <w:sz w:val="21"/>
                      <w:szCs w:val="21"/>
                      <w:lang w:val="en-US" w:eastAsia="zh-CN"/>
                    </w:rPr>
                    <w:t>6</w:t>
                  </w:r>
                </w:p>
              </w:tc>
              <w:tc>
                <w:tcPr>
                  <w:tcW w:w="451" w:type="pct"/>
                  <w:tcBorders>
                    <w:tl2br w:val="nil"/>
                    <w:tr2bl w:val="nil"/>
                  </w:tcBorders>
                  <w:noWrap w:val="0"/>
                  <w:vAlign w:val="center"/>
                </w:tcPr>
                <w:p w14:paraId="7F2AB790">
                  <w:pPr>
                    <w:pStyle w:val="37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eastAsia="zh-CN"/>
                    </w:rPr>
                    <w:t>&lt;</w:t>
                  </w:r>
                  <w:r>
                    <w:rPr>
                      <w:rFonts w:hint="default" w:ascii="Times New Roman" w:hAnsi="Times New Roman" w:eastAsia="宋体" w:cs="Times New Roman"/>
                      <w:color w:val="auto"/>
                      <w:spacing w:val="0"/>
                      <w:kern w:val="0"/>
                      <w:sz w:val="21"/>
                      <w:szCs w:val="21"/>
                      <w:lang w:val="en-US" w:eastAsia="zh-CN"/>
                    </w:rPr>
                    <w:t>6.4</w:t>
                  </w:r>
                  <w:r>
                    <w:rPr>
                      <w:rFonts w:hint="default" w:ascii="Times New Roman" w:hAnsi="Times New Roman" w:eastAsia="宋体" w:cs="Times New Roman"/>
                      <w:color w:val="auto"/>
                      <w:spacing w:val="0"/>
                      <w:kern w:val="0"/>
                      <w:sz w:val="21"/>
                      <w:szCs w:val="21"/>
                    </w:rPr>
                    <w:t>m</w:t>
                  </w:r>
                  <w:r>
                    <w:rPr>
                      <w:rFonts w:hint="default" w:ascii="Times New Roman" w:hAnsi="Times New Roman" w:eastAsia="宋体" w:cs="Times New Roman"/>
                      <w:color w:val="auto"/>
                      <w:spacing w:val="0"/>
                      <w:kern w:val="0"/>
                      <w:sz w:val="21"/>
                      <w:szCs w:val="21"/>
                      <w:vertAlign w:val="superscript"/>
                      <w:lang w:val="en-US" w:eastAsia="zh-CN"/>
                    </w:rPr>
                    <w:t>2</w:t>
                  </w:r>
                </w:p>
              </w:tc>
            </w:tr>
          </w:tbl>
          <w:p w14:paraId="22BAF52D">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smallCaps w:val="0"/>
                <w:color w:val="auto"/>
                <w:spacing w:val="0"/>
                <w:kern w:val="0"/>
                <w:position w:val="0"/>
                <w:sz w:val="24"/>
                <w:szCs w:val="24"/>
                <w:highlight w:val="none"/>
                <w:lang w:val="en-US" w:eastAsia="zh-CN"/>
              </w:rPr>
              <w:t>项目建成后危废总量为</w:t>
            </w:r>
            <w:r>
              <w:rPr>
                <w:rFonts w:hint="eastAsia" w:cs="Times New Roman"/>
                <w:smallCaps w:val="0"/>
                <w:color w:val="auto"/>
                <w:spacing w:val="0"/>
                <w:kern w:val="0"/>
                <w:position w:val="0"/>
                <w:sz w:val="24"/>
                <w:szCs w:val="24"/>
                <w:highlight w:val="none"/>
                <w:lang w:val="en-US" w:eastAsia="zh-CN"/>
              </w:rPr>
              <w:t>9.4</w:t>
            </w:r>
            <w:r>
              <w:rPr>
                <w:rFonts w:hint="default" w:ascii="Times New Roman" w:hAnsi="Times New Roman" w:eastAsia="宋体" w:cs="Times New Roman"/>
                <w:smallCaps w:val="0"/>
                <w:color w:val="auto"/>
                <w:spacing w:val="0"/>
                <w:kern w:val="0"/>
                <w:position w:val="0"/>
                <w:sz w:val="24"/>
                <w:szCs w:val="24"/>
                <w:highlight w:val="none"/>
                <w:lang w:val="en-US" w:eastAsia="zh-CN"/>
              </w:rPr>
              <w:t>t/a，厂区内最大贮存量约</w:t>
            </w:r>
            <w:r>
              <w:rPr>
                <w:rFonts w:hint="eastAsia" w:cs="Times New Roman"/>
                <w:smallCaps w:val="0"/>
                <w:color w:val="auto"/>
                <w:spacing w:val="0"/>
                <w:kern w:val="0"/>
                <w:position w:val="0"/>
                <w:sz w:val="24"/>
                <w:szCs w:val="24"/>
                <w:highlight w:val="none"/>
                <w:lang w:val="en-US" w:eastAsia="zh-CN"/>
              </w:rPr>
              <w:t>2.375</w:t>
            </w:r>
            <w:r>
              <w:rPr>
                <w:rFonts w:hint="default" w:ascii="Times New Roman" w:hAnsi="Times New Roman" w:eastAsia="宋体" w:cs="Times New Roman"/>
                <w:smallCaps w:val="0"/>
                <w:color w:val="auto"/>
                <w:spacing w:val="0"/>
                <w:kern w:val="0"/>
                <w:position w:val="0"/>
                <w:sz w:val="24"/>
                <w:szCs w:val="24"/>
                <w:highlight w:val="none"/>
                <w:lang w:val="en-US" w:eastAsia="zh-CN"/>
              </w:rPr>
              <w:t>t，其所需面积约</w:t>
            </w:r>
            <w:r>
              <w:rPr>
                <w:rFonts w:hint="eastAsia" w:cs="Times New Roman"/>
                <w:smallCaps w:val="0"/>
                <w:color w:val="auto"/>
                <w:spacing w:val="0"/>
                <w:kern w:val="0"/>
                <w:position w:val="0"/>
                <w:sz w:val="24"/>
                <w:szCs w:val="24"/>
                <w:highlight w:val="none"/>
                <w:lang w:val="en-US" w:eastAsia="zh-CN"/>
              </w:rPr>
              <w:t>6</w:t>
            </w:r>
            <w:r>
              <w:rPr>
                <w:rFonts w:hint="default" w:ascii="Times New Roman" w:hAnsi="Times New Roman" w:eastAsia="宋体" w:cs="Times New Roman"/>
                <w:smallCaps w:val="0"/>
                <w:color w:val="auto"/>
                <w:spacing w:val="0"/>
                <w:kern w:val="0"/>
                <w:position w:val="0"/>
                <w:sz w:val="24"/>
                <w:szCs w:val="24"/>
                <w:highlight w:val="none"/>
                <w:lang w:val="en-US" w:eastAsia="zh-CN"/>
              </w:rPr>
              <w:t>m</w:t>
            </w:r>
            <w:r>
              <w:rPr>
                <w:rFonts w:hint="default" w:ascii="Times New Roman" w:hAnsi="Times New Roman" w:eastAsia="宋体" w:cs="Times New Roman"/>
                <w:smallCaps w:val="0"/>
                <w:color w:val="auto"/>
                <w:spacing w:val="0"/>
                <w:kern w:val="0"/>
                <w:position w:val="0"/>
                <w:sz w:val="24"/>
                <w:szCs w:val="24"/>
                <w:highlight w:val="none"/>
                <w:vertAlign w:val="superscript"/>
                <w:lang w:val="en-US" w:eastAsia="zh-CN"/>
              </w:rPr>
              <w:t>2</w:t>
            </w:r>
            <w:r>
              <w:rPr>
                <w:rFonts w:hint="default" w:ascii="Times New Roman" w:hAnsi="Times New Roman" w:eastAsia="宋体" w:cs="Times New Roman"/>
                <w:smallCaps w:val="0"/>
                <w:color w:val="auto"/>
                <w:spacing w:val="0"/>
                <w:kern w:val="0"/>
                <w:position w:val="0"/>
                <w:sz w:val="24"/>
                <w:szCs w:val="24"/>
                <w:highlight w:val="none"/>
                <w:lang w:val="en-US" w:eastAsia="zh-CN"/>
              </w:rPr>
              <w:t>（&lt;6.4m</w:t>
            </w:r>
            <w:r>
              <w:rPr>
                <w:rFonts w:hint="default" w:ascii="Times New Roman" w:hAnsi="Times New Roman" w:eastAsia="宋体" w:cs="Times New Roman"/>
                <w:smallCaps w:val="0"/>
                <w:color w:val="auto"/>
                <w:spacing w:val="0"/>
                <w:kern w:val="0"/>
                <w:position w:val="0"/>
                <w:sz w:val="24"/>
                <w:szCs w:val="24"/>
                <w:highlight w:val="none"/>
                <w:vertAlign w:val="superscript"/>
                <w:lang w:val="en-US" w:eastAsia="zh-CN"/>
              </w:rPr>
              <w:t>2</w:t>
            </w:r>
            <w:r>
              <w:rPr>
                <w:rFonts w:hint="default" w:ascii="Times New Roman" w:hAnsi="Times New Roman" w:eastAsia="宋体" w:cs="Times New Roman"/>
                <w:smallCaps w:val="0"/>
                <w:color w:val="auto"/>
                <w:spacing w:val="0"/>
                <w:kern w:val="0"/>
                <w:position w:val="0"/>
                <w:sz w:val="24"/>
                <w:szCs w:val="24"/>
                <w:highlight w:val="none"/>
                <w:lang w:val="en-US" w:eastAsia="zh-CN"/>
              </w:rPr>
              <w:t>），故危废堆场贮存容量可满足本项目危废的贮存。</w:t>
            </w:r>
          </w:p>
          <w:p w14:paraId="52421D57">
            <w:pPr>
              <w:keepNext w:val="0"/>
              <w:keepLines w:val="0"/>
              <w:pageBreakBefore w:val="0"/>
              <w:widowControl/>
              <w:kinsoku/>
              <w:wordWrap/>
              <w:overflowPunct/>
              <w:topLinePunct w:val="0"/>
              <w:autoSpaceDE/>
              <w:autoSpaceDN/>
              <w:bidi w:val="0"/>
              <w:adjustRightInd/>
              <w:snapToGrid/>
              <w:ind w:left="0" w:leftChars="0" w:firstLine="0" w:firstLineChars="0"/>
              <w:jc w:val="left"/>
              <w:textAlignment w:val="bottom"/>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4.4.4</w:t>
            </w:r>
            <w:r>
              <w:rPr>
                <w:rFonts w:hint="default" w:ascii="Times New Roman" w:hAnsi="Times New Roman" w:eastAsia="宋体" w:cs="Times New Roman"/>
                <w:b/>
                <w:bCs/>
                <w:color w:val="auto"/>
                <w:sz w:val="24"/>
                <w:szCs w:val="24"/>
              </w:rPr>
              <w:t>一般固体废物环境管理要求</w:t>
            </w:r>
          </w:p>
          <w:p w14:paraId="6699BC5E">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项目在厂区内设置了</w:t>
            </w:r>
            <w:r>
              <w:rPr>
                <w:rFonts w:hint="default" w:ascii="Times New Roman" w:hAnsi="Times New Roman" w:eastAsia="宋体" w:cs="Times New Roman"/>
                <w:b w:val="0"/>
                <w:bCs w:val="0"/>
                <w:color w:val="auto"/>
                <w:sz w:val="24"/>
                <w:szCs w:val="24"/>
                <w:lang w:val="en-US" w:eastAsia="zh-CN"/>
              </w:rPr>
              <w:t>一个</w:t>
            </w:r>
            <w:r>
              <w:rPr>
                <w:rFonts w:hint="default" w:ascii="Times New Roman" w:hAnsi="Times New Roman" w:eastAsia="宋体" w:cs="Times New Roman"/>
                <w:b w:val="0"/>
                <w:bCs w:val="0"/>
                <w:color w:val="auto"/>
                <w:sz w:val="24"/>
                <w:szCs w:val="24"/>
              </w:rPr>
              <w:t>一般工业固废贮存间</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面积约</w:t>
            </w:r>
            <w:r>
              <w:rPr>
                <w:rFonts w:hint="eastAsia"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0</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color w:val="auto"/>
                <w:sz w:val="24"/>
                <w:szCs w:val="24"/>
              </w:rPr>
              <w:t>一般工业固废暂存场所的设置参照《一般工业固体废物贮存和填埋污染控制标准》（GB18599-2020）中相关规定执行</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废包装袋、废布袋</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不合格品、收集粉尘</w:t>
            </w:r>
            <w:r>
              <w:rPr>
                <w:rFonts w:hint="default" w:ascii="Times New Roman" w:hAnsi="Times New Roman" w:eastAsia="宋体" w:cs="Times New Roman"/>
                <w:b w:val="0"/>
                <w:bCs w:val="0"/>
                <w:color w:val="auto"/>
                <w:sz w:val="24"/>
                <w:szCs w:val="24"/>
              </w:rPr>
              <w:t>收集后送至一般固废暂存场所进行分类暂存，杜绝混合存放。</w:t>
            </w:r>
          </w:p>
          <w:p w14:paraId="46E9A3BC">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应严格按照《中华人民共和国固体废物污染环境防治法》要求，建立健全一般工业固废产生、收集、贮存、运输、利用、处置全过程的污染环境防治责任制度，建立工业固体废物管理台账，如实记录产生一般工业固废的种类、数量、流向、贮存、利用、处置等信息，实现一般工业固体废物可追溯、可查询。</w:t>
            </w:r>
          </w:p>
          <w:p w14:paraId="405CB4C7">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一般工业固体废物管理台账制定指南（试行）》（生态环境部公告2021年第82号），建设单位应按照该指南中要求建立规范化工业固体废物管理台账，如实记录工业固体废物的种类、数量、流向、贮存、利用、处置等信息，推动企业提升固体废物管理水平。</w:t>
            </w:r>
          </w:p>
          <w:p w14:paraId="7C395413">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（5）危废堆场防治措施</w:t>
            </w:r>
          </w:p>
          <w:p w14:paraId="00A292E6">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a.收集过程污染控制</w:t>
            </w:r>
          </w:p>
          <w:p w14:paraId="05D07ED4">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本项目对各种不同的危险废物进行分类收集，采用不同大小和不同材质的容器进行包装，所有包装容器应足够安全，并经过周密检查，严防在装载、搬移或运输途中出现渗漏、溢出、抛洒或挥发等情况。</w:t>
            </w:r>
          </w:p>
          <w:p w14:paraId="49058531">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b.临时贮存过程污染控制</w:t>
            </w:r>
          </w:p>
          <w:p w14:paraId="558F830D">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危废仓库按照《危险废物贮存污染控制标准》（GB18597-2023）要求设置标志牌，做到“防风、防雨、防晒”。</w:t>
            </w:r>
          </w:p>
          <w:p w14:paraId="6580CE5E">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危废仓库地面已具备基础防渗措施，需在此基础上铺设0.2mm厚的环氧树脂涂层，使地面渗透系数小于1.0×10</w:t>
            </w:r>
            <w:r>
              <w:rPr>
                <w:rFonts w:hint="default" w:ascii="Times New Roman" w:hAnsi="Times New Roman" w:eastAsia="宋体" w:cs="Times New Roman"/>
                <w:b w:val="0"/>
                <w:bCs w:val="0"/>
                <w:color w:val="auto"/>
                <w:sz w:val="24"/>
                <w:szCs w:val="24"/>
                <w:vertAlign w:val="superscript"/>
              </w:rPr>
              <w:t>-10</w:t>
            </w:r>
            <w:r>
              <w:rPr>
                <w:rFonts w:hint="default" w:ascii="Times New Roman" w:hAnsi="Times New Roman" w:eastAsia="宋体" w:cs="Times New Roman"/>
                <w:b w:val="0"/>
                <w:bCs w:val="0"/>
                <w:color w:val="auto"/>
                <w:sz w:val="24"/>
                <w:szCs w:val="24"/>
              </w:rPr>
              <w:t>cm/s，满足《环境影响评价技术导则—地下水环境》（HJ610-2016）中重点防渗区防渗技术要求。</w:t>
            </w:r>
          </w:p>
          <w:p w14:paraId="77188072">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c.标识化建设</w:t>
            </w:r>
          </w:p>
          <w:p w14:paraId="14D26728">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根据《危险废物贮存污染控制标准》（GB18597-2023）《危险废物收集贮存运输技术规范》（H</w:t>
            </w:r>
            <w:r>
              <w:rPr>
                <w:rFonts w:hint="default" w:ascii="Times New Roman" w:hAnsi="Times New Roman" w:eastAsia="宋体" w:cs="Times New Roman"/>
                <w:b w:val="0"/>
                <w:bCs w:val="0"/>
                <w:color w:val="auto"/>
                <w:sz w:val="24"/>
                <w:szCs w:val="24"/>
                <w:lang w:val="en-US" w:eastAsia="zh-CN"/>
              </w:rPr>
              <w:t>J</w:t>
            </w:r>
            <w:r>
              <w:rPr>
                <w:rFonts w:hint="default" w:ascii="Times New Roman" w:hAnsi="Times New Roman" w:eastAsia="宋体" w:cs="Times New Roman"/>
                <w:b w:val="0"/>
                <w:bCs w:val="0"/>
                <w:color w:val="auto"/>
                <w:sz w:val="24"/>
                <w:szCs w:val="24"/>
              </w:rPr>
              <w:t>2025-2012）、《危险废物识别标志设置技术规范》（HJ1276-2022）等文件要求，公开危险废物信息、贮存设施设置警示标志。在识别标识外观质量上，应确保公开栏、标志牌、立柱、支架无明显变形；立柱、支架的材料、内外径大小及地下部分高度应确保公开栏、标志牌等安全、稳定固定，避免发生倾倒情况；公开栏、标志牌、立柱、支架等均应经过防腐处理；公开栏、标志牌表面无气泡，膜或搪瓷无脱落，无开裂、脱落及其他破损；公开栏、标志牌、标签等图案清晰，色泽一致，不得有明显缺损。当发现形象损坏、颜色污染或有变化、褪色等情况时，应及时修复或更换。</w:t>
            </w:r>
          </w:p>
          <w:p w14:paraId="050B7BC2">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d.监控</w:t>
            </w:r>
          </w:p>
          <w:p w14:paraId="0D46F527">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根据《省生态环境厅关于印发江苏省危险废物贮存规范化管理专项整治行动方案的通知》（苏环办〔2019〕149号）、《省生态环境厅关于印发《江苏省固体废物全过程环境监管工作意见》的通知》（苏环办</w:t>
            </w:r>
            <w:r>
              <w:rPr>
                <w:rFonts w:hint="default" w:ascii="Times New Roman" w:hAnsi="Times New Roman" w:eastAsia="宋体" w:cs="Times New Roman"/>
                <w:b w:val="0"/>
                <w:bCs w:val="0"/>
                <w:color w:val="auto"/>
                <w:sz w:val="24"/>
                <w:szCs w:val="24"/>
                <w:lang w:eastAsia="zh-CN"/>
              </w:rPr>
              <w:t>〔2024〕16号</w:t>
            </w:r>
            <w:r>
              <w:rPr>
                <w:rFonts w:hint="default" w:ascii="Times New Roman" w:hAnsi="Times New Roman" w:eastAsia="宋体" w:cs="Times New Roman"/>
                <w:b w:val="0"/>
                <w:bCs w:val="0"/>
                <w:color w:val="auto"/>
                <w:sz w:val="24"/>
                <w:szCs w:val="24"/>
              </w:rPr>
              <w:t>）要求，危险废物产生单位和经营单位均应在关键位置设置在线视频监控。</w:t>
            </w:r>
          </w:p>
          <w:p w14:paraId="03238E8F">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应在危废堆场出入口及内部布设视频监控，且满足以下要求：监控系统：须满足《公共安全视频监控联网系统信息传输、交换、控制技术要求》（GB/T28181-2022）、《安全防范高清视频监控系统技术要求》（GA/T1211-2014）等标准；所有摄像机须支持ONVIF、GB/T28181-2022标准协议。</w:t>
            </w:r>
          </w:p>
          <w:p w14:paraId="46077321">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监控质量：须连续记录危险废物出入库情况和物流情况，包含录制日期及时间显示，不得对原始影像文件进行拼接、剪辑和编辑，保证影像连贯；摄像头距离监控对象的位置应保证监控对象全部摄入监控视频中，同时避免人员、设备、建筑物等的遮挡，清楚辨识贮存、处理等关键环节；监控区域24小时须有足够的光源以保证画面清晰辨识；视频监控录像画面分辨率须达到300万像素以上。</w:t>
            </w:r>
          </w:p>
          <w:p w14:paraId="69CE286F">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存储传输：企业应当做好备用电源、视频双备份等保障措施，确保视频监控全天24小时不间断录像，监控视频保存时间至少为3个月。</w:t>
            </w:r>
          </w:p>
          <w:p w14:paraId="7D98CB64">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e.运输过程污染控制</w:t>
            </w:r>
          </w:p>
          <w:p w14:paraId="254144E5">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本项目危险废物运输由有资质单位负责，运输车辆须经主管单位检查，并持有有关单位签发的许可证，负责运输的司机应通过培训，持有证明文件。</w:t>
            </w:r>
          </w:p>
          <w:p w14:paraId="59185B03">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承载危险废物的车辆须有明显的标志或适当的危险符号，以引起注意。</w:t>
            </w:r>
          </w:p>
          <w:p w14:paraId="41EDFB1A">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载有危险废物的车辆在公路上行驶时，需持有运输许可证，其上应注明废物来源、性质和运往地点。组织危险废物的运输单位，在事先需</w:t>
            </w:r>
            <w:r>
              <w:rPr>
                <w:rFonts w:hint="default" w:ascii="Times New Roman" w:hAnsi="Times New Roman" w:eastAsia="宋体" w:cs="Times New Roman"/>
                <w:b w:val="0"/>
                <w:bCs w:val="0"/>
                <w:color w:val="auto"/>
                <w:sz w:val="24"/>
                <w:szCs w:val="24"/>
                <w:lang w:eastAsia="zh-CN"/>
              </w:rPr>
              <w:t>做出</w:t>
            </w:r>
            <w:r>
              <w:rPr>
                <w:rFonts w:hint="default" w:ascii="Times New Roman" w:hAnsi="Times New Roman" w:eastAsia="宋体" w:cs="Times New Roman"/>
                <w:b w:val="0"/>
                <w:bCs w:val="0"/>
                <w:color w:val="auto"/>
                <w:sz w:val="24"/>
                <w:szCs w:val="24"/>
              </w:rPr>
              <w:t>周密的运输计划和行驶路线，其中包括有效的废物泄漏情况下的应急措施。</w:t>
            </w:r>
          </w:p>
          <w:p w14:paraId="4C715779">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（7）固体废物管理要求</w:t>
            </w:r>
          </w:p>
          <w:p w14:paraId="4656BB57">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根据《省生态环境厅关于印发《江苏省固体废物全过程环境监管工作意见》的通知》（苏环办</w:t>
            </w:r>
            <w:r>
              <w:rPr>
                <w:rFonts w:hint="default" w:ascii="Times New Roman" w:hAnsi="Times New Roman" w:eastAsia="宋体" w:cs="Times New Roman"/>
                <w:b w:val="0"/>
                <w:bCs w:val="0"/>
                <w:color w:val="auto"/>
                <w:sz w:val="24"/>
                <w:szCs w:val="24"/>
                <w:lang w:eastAsia="zh-CN"/>
              </w:rPr>
              <w:t>〔2024〕16号</w:t>
            </w:r>
            <w:r>
              <w:rPr>
                <w:rFonts w:hint="default" w:ascii="Times New Roman" w:hAnsi="Times New Roman" w:eastAsia="宋体" w:cs="Times New Roman"/>
                <w:b w:val="0"/>
                <w:bCs w:val="0"/>
                <w:color w:val="auto"/>
                <w:sz w:val="24"/>
                <w:szCs w:val="24"/>
              </w:rPr>
              <w:t>），企业日常管理过程中，落实排污许可制度、规范贮存管理要求、强化转移过程管理、落实信息公开制度、加强企业产物监管和规范一般工业固废管理，具体管理如下。</w:t>
            </w:r>
          </w:p>
          <w:p w14:paraId="0069CAA3">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落实排污许可制度。企业要在排污许可管理系统中全面、准确申报工业固体废物产生种类，以及贮存设施和利用处置等相关情况，并对其真实性负责。实际产生、转移、贮存和利用处置情况对照项目环评发生变动的，要根据变动情况及时采取重新报批环评、纳入环境保护竣工验收等手续，并及时变更排污许可。</w:t>
            </w:r>
          </w:p>
          <w:p w14:paraId="733CE773">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规范贮存管理要求。根据《危险废物贮存污染控制标准》</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GB18597-2023</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企业可根据实际情况选择采用危险废物贮存设施或贮存点两类方式进行贮存，符合相应的污染控制标准：不具备建设贮存设施条件、选用贮存点方式的，除符合国家关于贮存点控制要求外，还要执行《江苏省危险废物集中收集体系建设工作方案</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试行</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苏环办</w:t>
            </w:r>
            <w:r>
              <w:rPr>
                <w:rFonts w:hint="default" w:ascii="Times New Roman" w:hAnsi="Times New Roman" w:eastAsia="宋体" w:cs="Times New Roman"/>
                <w:b w:val="0"/>
                <w:bCs w:val="0"/>
                <w:color w:val="auto"/>
                <w:sz w:val="24"/>
                <w:szCs w:val="24"/>
                <w:lang w:eastAsia="zh-CN"/>
              </w:rPr>
              <w:t>〔2021〕290号）</w:t>
            </w:r>
            <w:r>
              <w:rPr>
                <w:rFonts w:hint="default" w:ascii="Times New Roman" w:hAnsi="Times New Roman" w:eastAsia="宋体" w:cs="Times New Roman"/>
                <w:b w:val="0"/>
                <w:bCs w:val="0"/>
                <w:color w:val="auto"/>
                <w:sz w:val="24"/>
                <w:szCs w:val="24"/>
              </w:rPr>
              <w:t>中关于贮存周期和贮存量的要求，I级、</w:t>
            </w:r>
            <w:r>
              <w:rPr>
                <w:rFonts w:hint="default" w:ascii="Times New Roman" w:hAnsi="Times New Roman" w:eastAsia="宋体" w:cs="Times New Roman"/>
                <w:b w:val="0"/>
                <w:bCs w:val="0"/>
                <w:color w:val="auto"/>
                <w:sz w:val="24"/>
                <w:szCs w:val="24"/>
                <w:lang w:val="en-US" w:eastAsia="zh-CN"/>
              </w:rPr>
              <w:t>Ⅱ</w:t>
            </w:r>
            <w:r>
              <w:rPr>
                <w:rFonts w:hint="default" w:ascii="Times New Roman" w:hAnsi="Times New Roman" w:eastAsia="宋体" w:cs="Times New Roman"/>
                <w:b w:val="0"/>
                <w:bCs w:val="0"/>
                <w:color w:val="auto"/>
                <w:sz w:val="24"/>
                <w:szCs w:val="24"/>
              </w:rPr>
              <w:t>级、</w:t>
            </w:r>
            <w:r>
              <w:rPr>
                <w:rFonts w:hint="default" w:ascii="Times New Roman" w:hAnsi="Times New Roman" w:eastAsia="宋体" w:cs="Times New Roman"/>
                <w:b w:val="0"/>
                <w:bCs w:val="0"/>
                <w:color w:val="auto"/>
                <w:sz w:val="24"/>
                <w:szCs w:val="24"/>
                <w:lang w:eastAsia="zh-CN"/>
              </w:rPr>
              <w:t>Ⅲ级</w:t>
            </w:r>
            <w:r>
              <w:rPr>
                <w:rFonts w:hint="default" w:ascii="Times New Roman" w:hAnsi="Times New Roman" w:eastAsia="宋体" w:cs="Times New Roman"/>
                <w:b w:val="0"/>
                <w:bCs w:val="0"/>
                <w:color w:val="auto"/>
                <w:sz w:val="24"/>
                <w:szCs w:val="24"/>
              </w:rPr>
              <w:t>危险废物贮存时间分别不得超过30天、60天、90天，最大贮存量不得超过1吨。</w:t>
            </w:r>
          </w:p>
          <w:p w14:paraId="5104F286">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强化转移过程管理。全面落实危险废物转移电子联单制度，实行省内全域扫描“二维码”转移。加强与危险货物道路运输电子运单数据共享，实现运输轨迹可溯可查。危险废物产生单位须依法核实经营单位主体资格和技术能力，直接签订委托合同：并向经营单位提供相关危险废物产生工艺、具体成分，以及是否易燃易爆等信息，违法委托的，应当与造成环境污染和生态破坏的受托方承担连带责任：经营单位须按合同及包装物扫码签收危险废物，签收人、车辆信息等须拍照上传至系统，严禁“空转”二维码。积极推行一般工业固体废物转移电子联单制度，优先选择环境风险较大的污泥、矿渣等固体废物试行。</w:t>
            </w:r>
          </w:p>
          <w:p w14:paraId="7805D15F">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落实信息公开制度。危险废物环境重点监管单位要在出入口、设施内部、危险废物运输车辆通道等关键位置设置视频监控并与中控室联网，通过设立公开栏、标志牌等方式，主动公开危险废物产生和利用处置等有关信息。集中焚烧处置单位及有自建危废焚烧处置设施的单位要依法及时公开二燃室温度等工况运行指标以及污染物排放指标、浓度等有关信息，并联网至属地生态环境部门。危险废物经营单位应同步公开许可证、许可条件等全文信息。</w:t>
            </w:r>
          </w:p>
          <w:p w14:paraId="4F9DBE01">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加强企业产物监管。危险废物利用单位的所有产物须按照本文件第2条明确的五类属性进行分类管理，其中按产品管理的需要对其特征污染物开展检测分析，严防污染物向下游转移。全国性行业协会或江苏省地方行业协会制定的团体标准若包括危险废物来源、利用工艺、利用产物功能性指标、有效成分含量、特征污染物含量和利用产物用途的，可作为用于工业生产替代原料的综合利用产物环境风险评价的依据，其环境风险评价要重点阐述标准落实情况。严格执行风险评价要求的利用产物可按照产品管理。</w:t>
            </w:r>
          </w:p>
          <w:p w14:paraId="04937A1C">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规范一般工业固废管理。企业需按照《一般工业固体废物管理台账制定指南</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试行</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生态环境部2021年第82号公告</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要求，建立一般工业固废台账，同时还需在固废管理信息系统申报，电子台账已有内容，不再另外制作纸质台账。各地要对辖区内一般工业固废利用处置需求和能力进行摸排，建立收运处体系。</w:t>
            </w:r>
          </w:p>
          <w:p w14:paraId="136A88D2">
            <w:pPr>
              <w:keepNext w:val="0"/>
              <w:keepLines w:val="0"/>
              <w:pageBreakBefore w:val="0"/>
              <w:widowControl/>
              <w:kinsoku/>
              <w:wordWrap/>
              <w:overflowPunct/>
              <w:topLinePunct w:val="0"/>
              <w:autoSpaceDE/>
              <w:autoSpaceDN/>
              <w:bidi w:val="0"/>
              <w:adjustRightInd/>
              <w:snapToGrid/>
              <w:ind w:firstLine="480" w:firstLineChars="200"/>
              <w:jc w:val="left"/>
              <w:textAlignment w:val="bottom"/>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综上所述，建设项目产生的固废均安全妥善的处置，全厂固废实现“零”排放，对环境不会产生二次污染，固废环境保护措施可行，可避免固体废弃物对环境造成的影响。</w:t>
            </w:r>
          </w:p>
          <w:p w14:paraId="43C467F2">
            <w:pPr>
              <w:widowControl/>
              <w:ind w:firstLine="0" w:firstLineChars="0"/>
              <w:jc w:val="left"/>
              <w:textAlignment w:val="bottom"/>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w:t>
            </w: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结论</w:t>
            </w:r>
          </w:p>
          <w:p w14:paraId="19E4A293">
            <w:pPr>
              <w:snapToGrid w:val="0"/>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综上，项目</w:t>
            </w:r>
            <w:r>
              <w:rPr>
                <w:rFonts w:hint="default" w:ascii="Times New Roman" w:hAnsi="Times New Roman" w:eastAsia="宋体" w:cs="Times New Roman"/>
                <w:color w:val="auto"/>
                <w:sz w:val="24"/>
                <w:szCs w:val="24"/>
                <w:lang w:bidi="ar"/>
              </w:rPr>
              <w:t>固体废物污染防治措施技术可行，经济合理，在加强管理的前提下，可稳定运行，有效防控固体废物对环境产生影响；</w:t>
            </w:r>
            <w:r>
              <w:rPr>
                <w:rFonts w:hint="default" w:ascii="Times New Roman" w:hAnsi="Times New Roman" w:eastAsia="宋体" w:cs="Times New Roman"/>
                <w:color w:val="auto"/>
                <w:sz w:val="24"/>
                <w:szCs w:val="24"/>
              </w:rPr>
              <w:t>项目产生的各种固体废物均得到妥善处理/处置，不会造成二次污染。</w:t>
            </w:r>
          </w:p>
          <w:p w14:paraId="123C0572">
            <w:pPr>
              <w:snapToGrid w:val="0"/>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5、地下水、土壤</w:t>
            </w:r>
          </w:p>
          <w:p w14:paraId="2BBCA2EE">
            <w:pPr>
              <w:widowControl/>
              <w:ind w:firstLine="420"/>
              <w:jc w:val="left"/>
              <w:textAlignment w:val="bottom"/>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本项目中，可能对地下水、土壤造成污染的途径包括：</w:t>
            </w:r>
            <w:r>
              <w:rPr>
                <w:rFonts w:hint="default" w:ascii="Times New Roman" w:hAnsi="Times New Roman" w:eastAsia="宋体" w:cs="Times New Roman"/>
                <w:color w:val="auto"/>
                <w:sz w:val="24"/>
                <w:szCs w:val="24"/>
                <w:lang w:val="en-US" w:eastAsia="zh-CN" w:bidi="ar"/>
              </w:rPr>
              <w:t>有机废气</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val="en-US" w:eastAsia="zh-CN" w:bidi="ar"/>
              </w:rPr>
              <w:t>颗粒物</w:t>
            </w:r>
            <w:r>
              <w:rPr>
                <w:rFonts w:hint="default" w:ascii="Times New Roman" w:hAnsi="Times New Roman" w:eastAsia="宋体" w:cs="Times New Roman"/>
                <w:color w:val="auto"/>
                <w:sz w:val="24"/>
                <w:szCs w:val="24"/>
                <w:lang w:bidi="ar"/>
              </w:rPr>
              <w:t>等废气通过大气沉降污染土壤和地下水，危废仓库等防腐防渗不到位发生泄漏垂直渗入土壤和地下水。</w:t>
            </w:r>
          </w:p>
          <w:p w14:paraId="79ED97B7">
            <w:pPr>
              <w:widowControl/>
              <w:ind w:firstLine="420"/>
              <w:jc w:val="left"/>
              <w:textAlignment w:val="bottom"/>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地下水、土壤保护应以预防为主，减少污染物进入地下水、土壤含水层的</w:t>
            </w:r>
            <w:r>
              <w:rPr>
                <w:rFonts w:hint="default" w:ascii="Times New Roman" w:hAnsi="Times New Roman" w:eastAsia="宋体" w:cs="Times New Roman"/>
                <w:color w:val="auto"/>
                <w:sz w:val="24"/>
                <w:szCs w:val="24"/>
                <w:lang w:eastAsia="zh-CN" w:bidi="ar"/>
              </w:rPr>
              <w:t>概率</w:t>
            </w:r>
            <w:r>
              <w:rPr>
                <w:rFonts w:hint="default" w:ascii="Times New Roman" w:hAnsi="Times New Roman" w:eastAsia="宋体" w:cs="Times New Roman"/>
                <w:color w:val="auto"/>
                <w:sz w:val="24"/>
                <w:szCs w:val="24"/>
                <w:lang w:bidi="ar"/>
              </w:rPr>
              <w:t>和途径，并制定和实施地下水、土壤监测井长期监测计划，一旦发现地下水遭、土壤受污染，应及时采取补救措施。针对本项目可能发生的地下水、土壤污染，防治措施按照“源头控制、分区防护、污染监控、应急响应”相结合的原则，从污染物的产生、入渗、扩散、应急响应全方位进行控制。</w:t>
            </w:r>
          </w:p>
          <w:p w14:paraId="7682D89E">
            <w:pPr>
              <w:ind w:left="0" w:leftChars="0"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5.1地下水、土壤污染分析</w:t>
            </w:r>
          </w:p>
          <w:p w14:paraId="068111F8">
            <w:pPr>
              <w:ind w:firstLine="42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rPr>
              <w:t>本项目厂区地面及厂房均已水泥硬化，生产车间均已防渗处理，</w:t>
            </w:r>
            <w:r>
              <w:rPr>
                <w:rFonts w:hint="default" w:ascii="Times New Roman" w:hAnsi="Times New Roman" w:eastAsia="宋体" w:cs="Times New Roman"/>
                <w:b w:val="0"/>
                <w:bCs w:val="0"/>
                <w:color w:val="auto"/>
                <w:sz w:val="24"/>
                <w:szCs w:val="24"/>
                <w:lang w:eastAsia="zh-CN"/>
              </w:rPr>
              <w:t>故</w:t>
            </w:r>
            <w:r>
              <w:rPr>
                <w:rFonts w:hint="default" w:ascii="Times New Roman" w:hAnsi="Times New Roman" w:eastAsia="宋体" w:cs="Times New Roman"/>
                <w:b w:val="0"/>
                <w:bCs w:val="0"/>
                <w:color w:val="auto"/>
                <w:sz w:val="24"/>
                <w:szCs w:val="24"/>
              </w:rPr>
              <w:t>造成地下水、土壤污染影响的区域以及污染途径的可能性较小。此外，本项目危险废物贮存仓库发生火灾事故时，产生的消防废水亦会渗透污染地下水的风险。若不加强本项目固废贮存仓库的防渗处理和及时处置，存在污染地下水的可能。</w:t>
            </w:r>
            <w:r>
              <w:rPr>
                <w:rFonts w:hint="default" w:ascii="Times New Roman" w:hAnsi="Times New Roman" w:eastAsia="宋体" w:cs="Times New Roman"/>
                <w:b w:val="0"/>
                <w:bCs w:val="0"/>
                <w:color w:val="auto"/>
                <w:sz w:val="24"/>
                <w:szCs w:val="24"/>
                <w:lang w:val="en-US" w:eastAsia="zh-CN"/>
              </w:rPr>
              <w:t xml:space="preserve"> </w:t>
            </w:r>
          </w:p>
          <w:p w14:paraId="7245F409">
            <w:pPr>
              <w:adjustRightInd w:val="0"/>
              <w:snapToGrid w:val="0"/>
              <w:ind w:left="0" w:leftChars="0"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5.2</w:t>
            </w:r>
            <w:r>
              <w:rPr>
                <w:rFonts w:hint="default" w:ascii="Times New Roman" w:hAnsi="Times New Roman" w:eastAsia="宋体" w:cs="Times New Roman"/>
                <w:b/>
                <w:bCs/>
                <w:color w:val="auto"/>
                <w:sz w:val="24"/>
                <w:szCs w:val="24"/>
              </w:rPr>
              <w:t>地下水、土壤污染防控措施</w:t>
            </w:r>
          </w:p>
          <w:p w14:paraId="4278586A">
            <w:pPr>
              <w:adjustRightInd w:val="0"/>
              <w:snapToGrid w:val="0"/>
              <w:ind w:firstLine="42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①源头控制措施</w:t>
            </w:r>
          </w:p>
          <w:p w14:paraId="1F7FCA9D">
            <w:pPr>
              <w:adjustRightInd w:val="0"/>
              <w:snapToGrid w:val="0"/>
              <w:ind w:firstLine="42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车间内应有应急处理设施，防止污染物的跑、冒、滴、漏，将污染物泄漏的可能性降到最低限度。对于危废贮存间设托板，确保泄漏物料统一收集。</w:t>
            </w:r>
            <w:r>
              <w:rPr>
                <w:rFonts w:hint="default" w:ascii="Times New Roman" w:hAnsi="Times New Roman" w:eastAsia="宋体" w:cs="Times New Roman"/>
                <w:b w:val="0"/>
                <w:bCs w:val="0"/>
                <w:color w:val="auto"/>
                <w:sz w:val="24"/>
                <w:szCs w:val="24"/>
                <w:lang w:val="en-US" w:eastAsia="zh-CN"/>
              </w:rPr>
              <w:t>厂区</w:t>
            </w:r>
            <w:r>
              <w:rPr>
                <w:rFonts w:hint="default" w:ascii="Times New Roman" w:hAnsi="Times New Roman" w:eastAsia="宋体" w:cs="Times New Roman"/>
                <w:b w:val="0"/>
                <w:bCs w:val="0"/>
                <w:color w:val="auto"/>
                <w:sz w:val="24"/>
                <w:szCs w:val="24"/>
              </w:rPr>
              <w:t>建立有效的事故废水收集系统，污水和雨水排放口设置雨水截止阀。尽快将地面上的废水收集进入废水收集系统，防止事故状态下事故废水进入雨水系统进而污染地下水。</w:t>
            </w:r>
          </w:p>
          <w:p w14:paraId="15BDAEDF">
            <w:pPr>
              <w:adjustRightInd w:val="0"/>
              <w:snapToGrid w:val="0"/>
              <w:ind w:firstLine="420"/>
              <w:jc w:val="left"/>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②分区防渗措施</w:t>
            </w:r>
          </w:p>
          <w:p w14:paraId="5DFF4FD1">
            <w:pPr>
              <w:adjustRightInd w:val="0"/>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val="0"/>
                <w:bCs w:val="0"/>
                <w:color w:val="auto"/>
                <w:sz w:val="24"/>
                <w:szCs w:val="24"/>
              </w:rPr>
              <w:t>根据《环境影响评价技术导则地下水环境》</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HJ610-2016</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，对已颁布污染控制国家标准或防渗技术规范的行业，防渗技术要求按照相应标准或规范执行，故危废贮存仓库的防渗技术要求按照《危险废物贮存污染控制标准》</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GB18597-2023</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要求执行，具体防控措施及措施有效相符性见下表</w:t>
            </w:r>
            <w:r>
              <w:rPr>
                <w:rFonts w:hint="default" w:ascii="Times New Roman" w:hAnsi="Times New Roman" w:eastAsia="宋体" w:cs="Times New Roman"/>
                <w:color w:val="auto"/>
                <w:sz w:val="24"/>
                <w:szCs w:val="24"/>
              </w:rPr>
              <w:t>。</w:t>
            </w:r>
          </w:p>
          <w:p w14:paraId="7D746948">
            <w:pPr>
              <w:pStyle w:val="378"/>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表4.5-1 本项目地下水、土壤污染防渗措施</w:t>
            </w:r>
          </w:p>
          <w:tbl>
            <w:tblPr>
              <w:tblStyle w:val="44"/>
              <w:tblW w:w="494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503"/>
              <w:gridCol w:w="2902"/>
              <w:gridCol w:w="3733"/>
              <w:gridCol w:w="762"/>
            </w:tblGrid>
            <w:tr w14:paraId="5E204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1" w:type="pct"/>
                  <w:gridSpan w:val="2"/>
                  <w:noWrap w:val="0"/>
                  <w:vAlign w:val="center"/>
                </w:tcPr>
                <w:p w14:paraId="69C96F8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color w:val="auto"/>
                      <w:spacing w:val="0"/>
                      <w:kern w:val="0"/>
                      <w:position w:val="0"/>
                      <w:sz w:val="21"/>
                      <w:szCs w:val="21"/>
                    </w:rPr>
                  </w:pPr>
                  <w:r>
                    <w:rPr>
                      <w:rFonts w:hint="default" w:ascii="Times New Roman" w:hAnsi="Times New Roman" w:eastAsia="宋体" w:cs="Times New Roman"/>
                      <w:b/>
                      <w:bCs/>
                      <w:smallCaps w:val="0"/>
                      <w:color w:val="auto"/>
                      <w:spacing w:val="0"/>
                      <w:kern w:val="0"/>
                      <w:position w:val="0"/>
                      <w:sz w:val="21"/>
                      <w:szCs w:val="21"/>
                    </w:rPr>
                    <w:t>区域位置</w:t>
                  </w:r>
                </w:p>
              </w:tc>
              <w:tc>
                <w:tcPr>
                  <w:tcW w:w="1533" w:type="pct"/>
                  <w:noWrap w:val="0"/>
                  <w:vAlign w:val="center"/>
                </w:tcPr>
                <w:p w14:paraId="5A2D3D3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color w:val="auto"/>
                      <w:spacing w:val="0"/>
                      <w:kern w:val="0"/>
                      <w:position w:val="0"/>
                      <w:sz w:val="21"/>
                      <w:szCs w:val="21"/>
                    </w:rPr>
                  </w:pPr>
                  <w:r>
                    <w:rPr>
                      <w:rFonts w:hint="default" w:ascii="Times New Roman" w:hAnsi="Times New Roman" w:eastAsia="宋体" w:cs="Times New Roman"/>
                      <w:b/>
                      <w:bCs/>
                      <w:smallCaps w:val="0"/>
                      <w:color w:val="auto"/>
                      <w:spacing w:val="0"/>
                      <w:kern w:val="0"/>
                      <w:position w:val="0"/>
                      <w:sz w:val="21"/>
                      <w:szCs w:val="21"/>
                    </w:rPr>
                    <w:t>GB18597防渗技术要求</w:t>
                  </w:r>
                </w:p>
              </w:tc>
              <w:tc>
                <w:tcPr>
                  <w:tcW w:w="1972" w:type="pct"/>
                  <w:noWrap w:val="0"/>
                  <w:vAlign w:val="center"/>
                </w:tcPr>
                <w:p w14:paraId="112D88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color w:val="auto"/>
                      <w:spacing w:val="0"/>
                      <w:kern w:val="0"/>
                      <w:position w:val="0"/>
                      <w:sz w:val="21"/>
                      <w:szCs w:val="21"/>
                    </w:rPr>
                  </w:pPr>
                  <w:r>
                    <w:rPr>
                      <w:rFonts w:hint="default" w:ascii="Times New Roman" w:hAnsi="Times New Roman" w:eastAsia="宋体" w:cs="Times New Roman"/>
                      <w:b/>
                      <w:bCs/>
                      <w:smallCaps w:val="0"/>
                      <w:color w:val="auto"/>
                      <w:spacing w:val="0"/>
                      <w:kern w:val="0"/>
                      <w:position w:val="0"/>
                      <w:sz w:val="21"/>
                      <w:szCs w:val="21"/>
                    </w:rPr>
                    <w:t>本项目采取的防控措施</w:t>
                  </w:r>
                </w:p>
              </w:tc>
              <w:tc>
                <w:tcPr>
                  <w:tcW w:w="402" w:type="pct"/>
                  <w:noWrap w:val="0"/>
                  <w:vAlign w:val="center"/>
                </w:tcPr>
                <w:p w14:paraId="52BD08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mallCaps w:val="0"/>
                      <w:color w:val="auto"/>
                      <w:spacing w:val="0"/>
                      <w:kern w:val="0"/>
                      <w:position w:val="0"/>
                      <w:sz w:val="21"/>
                      <w:szCs w:val="21"/>
                    </w:rPr>
                  </w:pPr>
                  <w:r>
                    <w:rPr>
                      <w:rFonts w:hint="default" w:ascii="Times New Roman" w:hAnsi="Times New Roman" w:eastAsia="宋体" w:cs="Times New Roman"/>
                      <w:b/>
                      <w:bCs/>
                      <w:smallCaps w:val="0"/>
                      <w:color w:val="auto"/>
                      <w:spacing w:val="0"/>
                      <w:kern w:val="0"/>
                      <w:position w:val="0"/>
                      <w:sz w:val="21"/>
                      <w:szCs w:val="21"/>
                    </w:rPr>
                    <w:t>相符性</w:t>
                  </w:r>
                </w:p>
              </w:tc>
            </w:tr>
            <w:tr w14:paraId="0224E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7" w:type="pct"/>
                  <w:noWrap w:val="0"/>
                  <w:vAlign w:val="center"/>
                </w:tcPr>
                <w:p w14:paraId="109976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mallCaps w:val="0"/>
                      <w:color w:val="auto"/>
                      <w:spacing w:val="0"/>
                      <w:kern w:val="0"/>
                      <w:position w:val="0"/>
                      <w:sz w:val="21"/>
                      <w:szCs w:val="21"/>
                    </w:rPr>
                  </w:pPr>
                  <w:r>
                    <w:rPr>
                      <w:rFonts w:hint="default" w:ascii="Times New Roman" w:hAnsi="Times New Roman" w:eastAsia="宋体" w:cs="Times New Roman"/>
                      <w:smallCaps w:val="0"/>
                      <w:color w:val="auto"/>
                      <w:spacing w:val="0"/>
                      <w:kern w:val="0"/>
                      <w:position w:val="0"/>
                      <w:sz w:val="21"/>
                      <w:szCs w:val="21"/>
                    </w:rPr>
                    <w:t>重点防渗区</w:t>
                  </w:r>
                </w:p>
              </w:tc>
              <w:tc>
                <w:tcPr>
                  <w:tcW w:w="794" w:type="pct"/>
                  <w:noWrap w:val="0"/>
                  <w:vAlign w:val="center"/>
                </w:tcPr>
                <w:p w14:paraId="7BB7788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mallCaps w:val="0"/>
                      <w:color w:val="auto"/>
                      <w:spacing w:val="0"/>
                      <w:kern w:val="0"/>
                      <w:position w:val="0"/>
                      <w:sz w:val="21"/>
                      <w:szCs w:val="21"/>
                      <w:lang w:val="en-US" w:eastAsia="zh-CN"/>
                    </w:rPr>
                  </w:pPr>
                  <w:r>
                    <w:rPr>
                      <w:rFonts w:hint="default" w:ascii="Times New Roman" w:hAnsi="Times New Roman" w:eastAsia="宋体" w:cs="Times New Roman"/>
                      <w:smallCaps w:val="0"/>
                      <w:color w:val="auto"/>
                      <w:spacing w:val="0"/>
                      <w:kern w:val="0"/>
                      <w:position w:val="0"/>
                      <w:sz w:val="21"/>
                      <w:szCs w:val="21"/>
                    </w:rPr>
                    <w:t>危废堆场、</w:t>
                  </w:r>
                  <w:r>
                    <w:rPr>
                      <w:rFonts w:hint="default" w:ascii="Times New Roman" w:hAnsi="Times New Roman" w:eastAsia="宋体" w:cs="Times New Roman"/>
                      <w:smallCaps w:val="0"/>
                      <w:color w:val="auto"/>
                      <w:spacing w:val="0"/>
                      <w:kern w:val="0"/>
                      <w:position w:val="0"/>
                      <w:sz w:val="21"/>
                      <w:szCs w:val="21"/>
                      <w:lang w:val="en-US" w:eastAsia="zh-CN"/>
                    </w:rPr>
                    <w:t>生产车间、</w:t>
                  </w:r>
                  <w:r>
                    <w:rPr>
                      <w:rFonts w:hint="default" w:ascii="Times New Roman" w:hAnsi="Times New Roman" w:eastAsia="宋体" w:cs="Times New Roman"/>
                      <w:smallCaps w:val="0"/>
                      <w:color w:val="auto"/>
                      <w:spacing w:val="0"/>
                      <w:kern w:val="0"/>
                      <w:position w:val="0"/>
                      <w:sz w:val="21"/>
                      <w:szCs w:val="21"/>
                      <w:highlight w:val="none"/>
                      <w:lang w:val="en-US" w:eastAsia="zh-CN"/>
                    </w:rPr>
                    <w:t>原辅料堆场</w:t>
                  </w:r>
                  <w:r>
                    <w:rPr>
                      <w:rFonts w:hint="default" w:ascii="Times New Roman" w:hAnsi="Times New Roman" w:eastAsia="宋体" w:cs="Times New Roman"/>
                      <w:smallCaps w:val="0"/>
                      <w:color w:val="auto"/>
                      <w:spacing w:val="0"/>
                      <w:kern w:val="0"/>
                      <w:position w:val="0"/>
                      <w:sz w:val="21"/>
                      <w:szCs w:val="21"/>
                      <w:lang w:val="en-US" w:eastAsia="zh-CN"/>
                    </w:rPr>
                    <w:t>、</w:t>
                  </w:r>
                  <w:r>
                    <w:rPr>
                      <w:rFonts w:hint="eastAsia" w:cs="Times New Roman"/>
                      <w:smallCaps w:val="0"/>
                      <w:color w:val="auto"/>
                      <w:spacing w:val="0"/>
                      <w:kern w:val="0"/>
                      <w:position w:val="0"/>
                      <w:sz w:val="21"/>
                      <w:szCs w:val="21"/>
                      <w:lang w:val="en-US" w:eastAsia="zh-CN"/>
                    </w:rPr>
                    <w:t>事故应急桶</w:t>
                  </w:r>
                </w:p>
              </w:tc>
              <w:tc>
                <w:tcPr>
                  <w:tcW w:w="1533" w:type="pct"/>
                  <w:noWrap w:val="0"/>
                  <w:vAlign w:val="center"/>
                </w:tcPr>
                <w:p w14:paraId="347013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mallCaps w:val="0"/>
                      <w:color w:val="auto"/>
                      <w:spacing w:val="0"/>
                      <w:kern w:val="0"/>
                      <w:position w:val="0"/>
                      <w:sz w:val="21"/>
                      <w:szCs w:val="21"/>
                    </w:rPr>
                  </w:pPr>
                  <w:r>
                    <w:rPr>
                      <w:rFonts w:hint="default" w:ascii="Times New Roman" w:hAnsi="Times New Roman" w:eastAsia="宋体" w:cs="Times New Roman"/>
                      <w:smallCaps w:val="0"/>
                      <w:color w:val="auto"/>
                      <w:spacing w:val="0"/>
                      <w:kern w:val="0"/>
                      <w:position w:val="0"/>
                      <w:sz w:val="21"/>
                      <w:szCs w:val="21"/>
                    </w:rPr>
                    <w:t>基础必须防渗，防渗层为至少1m厚粘土层（渗透系数≤10</w:t>
                  </w:r>
                  <w:r>
                    <w:rPr>
                      <w:rFonts w:hint="default" w:ascii="Times New Roman" w:hAnsi="Times New Roman" w:eastAsia="宋体" w:cs="Times New Roman"/>
                      <w:smallCaps w:val="0"/>
                      <w:color w:val="auto"/>
                      <w:spacing w:val="0"/>
                      <w:kern w:val="0"/>
                      <w:position w:val="0"/>
                      <w:sz w:val="21"/>
                      <w:szCs w:val="21"/>
                      <w:vertAlign w:val="superscript"/>
                    </w:rPr>
                    <w:t>-7</w:t>
                  </w:r>
                  <w:r>
                    <w:rPr>
                      <w:rFonts w:hint="default" w:ascii="Times New Roman" w:hAnsi="Times New Roman" w:eastAsia="宋体" w:cs="Times New Roman"/>
                      <w:smallCaps w:val="0"/>
                      <w:color w:val="auto"/>
                      <w:spacing w:val="0"/>
                      <w:kern w:val="0"/>
                      <w:position w:val="0"/>
                      <w:sz w:val="21"/>
                      <w:szCs w:val="21"/>
                    </w:rPr>
                    <w:t>cm/s），或2mm厚高密度聚乙烯，或至少2mm厚的其他人工材料，渗透系数≤10</w:t>
                  </w:r>
                  <w:r>
                    <w:rPr>
                      <w:rFonts w:hint="default" w:ascii="Times New Roman" w:hAnsi="Times New Roman" w:eastAsia="宋体" w:cs="Times New Roman"/>
                      <w:smallCaps w:val="0"/>
                      <w:color w:val="auto"/>
                      <w:spacing w:val="0"/>
                      <w:kern w:val="0"/>
                      <w:position w:val="0"/>
                      <w:sz w:val="21"/>
                      <w:szCs w:val="21"/>
                      <w:vertAlign w:val="superscript"/>
                    </w:rPr>
                    <w:t>-10</w:t>
                  </w:r>
                  <w:r>
                    <w:rPr>
                      <w:rFonts w:hint="default" w:ascii="Times New Roman" w:hAnsi="Times New Roman" w:eastAsia="宋体" w:cs="Times New Roman"/>
                      <w:smallCaps w:val="0"/>
                      <w:color w:val="auto"/>
                      <w:spacing w:val="0"/>
                      <w:kern w:val="0"/>
                      <w:position w:val="0"/>
                      <w:sz w:val="21"/>
                      <w:szCs w:val="21"/>
                    </w:rPr>
                    <w:t>cm/s</w:t>
                  </w:r>
                </w:p>
              </w:tc>
              <w:tc>
                <w:tcPr>
                  <w:tcW w:w="1972" w:type="pct"/>
                  <w:noWrap w:val="0"/>
                  <w:vAlign w:val="center"/>
                </w:tcPr>
                <w:p w14:paraId="4B0BCE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mallCaps w:val="0"/>
                      <w:color w:val="auto"/>
                      <w:spacing w:val="0"/>
                      <w:kern w:val="0"/>
                      <w:position w:val="0"/>
                      <w:sz w:val="21"/>
                      <w:szCs w:val="21"/>
                    </w:rPr>
                  </w:pPr>
                  <w:r>
                    <w:rPr>
                      <w:rFonts w:hint="default" w:ascii="Times New Roman" w:hAnsi="Times New Roman" w:eastAsia="宋体" w:cs="Times New Roman"/>
                      <w:smallCaps w:val="0"/>
                      <w:color w:val="auto"/>
                      <w:spacing w:val="0"/>
                      <w:kern w:val="0"/>
                      <w:position w:val="0"/>
                      <w:sz w:val="21"/>
                      <w:szCs w:val="21"/>
                    </w:rPr>
                    <w:t>由下至上防渗层做法为</w:t>
                  </w:r>
                  <w:r>
                    <w:rPr>
                      <w:rFonts w:hint="default" w:ascii="Times New Roman" w:hAnsi="Times New Roman" w:eastAsia="宋体" w:cs="Times New Roman"/>
                      <w:smallCaps w:val="0"/>
                      <w:color w:val="auto"/>
                      <w:spacing w:val="0"/>
                      <w:kern w:val="0"/>
                      <w:position w:val="0"/>
                      <w:sz w:val="21"/>
                      <w:szCs w:val="21"/>
                    </w:rPr>
                    <w:fldChar w:fldCharType="begin"/>
                  </w:r>
                  <w:r>
                    <w:rPr>
                      <w:rFonts w:hint="default" w:ascii="Times New Roman" w:hAnsi="Times New Roman" w:eastAsia="宋体" w:cs="Times New Roman"/>
                      <w:smallCaps w:val="0"/>
                      <w:color w:val="auto"/>
                      <w:spacing w:val="0"/>
                      <w:kern w:val="0"/>
                      <w:position w:val="0"/>
                      <w:sz w:val="21"/>
                      <w:szCs w:val="21"/>
                    </w:rPr>
                    <w:instrText xml:space="preserve"> = 1 \* GB3 \* MERGEFORMAT </w:instrText>
                  </w:r>
                  <w:r>
                    <w:rPr>
                      <w:rFonts w:hint="default" w:ascii="Times New Roman" w:hAnsi="Times New Roman" w:eastAsia="宋体" w:cs="Times New Roman"/>
                      <w:smallCaps w:val="0"/>
                      <w:color w:val="auto"/>
                      <w:spacing w:val="0"/>
                      <w:kern w:val="0"/>
                      <w:position w:val="0"/>
                      <w:sz w:val="21"/>
                      <w:szCs w:val="21"/>
                    </w:rPr>
                    <w:fldChar w:fldCharType="separate"/>
                  </w:r>
                  <w:r>
                    <w:rPr>
                      <w:rFonts w:hint="default" w:ascii="Times New Roman" w:hAnsi="Times New Roman" w:eastAsia="宋体" w:cs="Times New Roman"/>
                      <w:smallCaps w:val="0"/>
                      <w:color w:val="auto"/>
                      <w:spacing w:val="0"/>
                      <w:kern w:val="0"/>
                      <w:position w:val="0"/>
                      <w:sz w:val="21"/>
                      <w:szCs w:val="21"/>
                    </w:rPr>
                    <w:t>①</w:t>
                  </w:r>
                  <w:r>
                    <w:rPr>
                      <w:rFonts w:hint="default" w:ascii="Times New Roman" w:hAnsi="Times New Roman" w:eastAsia="宋体" w:cs="Times New Roman"/>
                      <w:smallCaps w:val="0"/>
                      <w:color w:val="auto"/>
                      <w:spacing w:val="0"/>
                      <w:kern w:val="0"/>
                      <w:position w:val="0"/>
                      <w:sz w:val="21"/>
                      <w:szCs w:val="21"/>
                    </w:rPr>
                    <w:fldChar w:fldCharType="end"/>
                  </w:r>
                  <w:r>
                    <w:rPr>
                      <w:rFonts w:hint="default" w:ascii="Times New Roman" w:hAnsi="Times New Roman" w:eastAsia="宋体" w:cs="Times New Roman"/>
                      <w:smallCaps w:val="0"/>
                      <w:color w:val="auto"/>
                      <w:spacing w:val="0"/>
                      <w:kern w:val="0"/>
                      <w:position w:val="0"/>
                      <w:sz w:val="21"/>
                      <w:szCs w:val="21"/>
                    </w:rPr>
                    <w:t>0.2m厚C30钢筋抗渗等级P8混凝土层；</w:t>
                  </w:r>
                  <w:r>
                    <w:rPr>
                      <w:rFonts w:hint="default" w:ascii="Times New Roman" w:hAnsi="Times New Roman" w:eastAsia="宋体" w:cs="Times New Roman"/>
                      <w:smallCaps w:val="0"/>
                      <w:color w:val="auto"/>
                      <w:spacing w:val="0"/>
                      <w:kern w:val="0"/>
                      <w:position w:val="0"/>
                      <w:sz w:val="21"/>
                      <w:szCs w:val="21"/>
                    </w:rPr>
                    <w:fldChar w:fldCharType="begin"/>
                  </w:r>
                  <w:r>
                    <w:rPr>
                      <w:rFonts w:hint="default" w:ascii="Times New Roman" w:hAnsi="Times New Roman" w:eastAsia="宋体" w:cs="Times New Roman"/>
                      <w:smallCaps w:val="0"/>
                      <w:color w:val="auto"/>
                      <w:spacing w:val="0"/>
                      <w:kern w:val="0"/>
                      <w:position w:val="0"/>
                      <w:sz w:val="21"/>
                      <w:szCs w:val="21"/>
                    </w:rPr>
                    <w:instrText xml:space="preserve"> = 2 \* GB3 \* MERGEFORMAT </w:instrText>
                  </w:r>
                  <w:r>
                    <w:rPr>
                      <w:rFonts w:hint="default" w:ascii="Times New Roman" w:hAnsi="Times New Roman" w:eastAsia="宋体" w:cs="Times New Roman"/>
                      <w:smallCaps w:val="0"/>
                      <w:color w:val="auto"/>
                      <w:spacing w:val="0"/>
                      <w:kern w:val="0"/>
                      <w:position w:val="0"/>
                      <w:sz w:val="21"/>
                      <w:szCs w:val="21"/>
                    </w:rPr>
                    <w:fldChar w:fldCharType="separate"/>
                  </w:r>
                  <w:r>
                    <w:rPr>
                      <w:rFonts w:hint="default" w:ascii="Times New Roman" w:hAnsi="Times New Roman" w:eastAsia="宋体" w:cs="Times New Roman"/>
                      <w:smallCaps w:val="0"/>
                      <w:color w:val="auto"/>
                      <w:spacing w:val="0"/>
                      <w:kern w:val="0"/>
                      <w:position w:val="0"/>
                      <w:sz w:val="21"/>
                      <w:szCs w:val="21"/>
                    </w:rPr>
                    <w:t>②</w:t>
                  </w:r>
                  <w:r>
                    <w:rPr>
                      <w:rFonts w:hint="default" w:ascii="Times New Roman" w:hAnsi="Times New Roman" w:eastAsia="宋体" w:cs="Times New Roman"/>
                      <w:smallCaps w:val="0"/>
                      <w:color w:val="auto"/>
                      <w:spacing w:val="0"/>
                      <w:kern w:val="0"/>
                      <w:position w:val="0"/>
                      <w:sz w:val="21"/>
                      <w:szCs w:val="21"/>
                    </w:rPr>
                    <w:fldChar w:fldCharType="end"/>
                  </w:r>
                  <w:r>
                    <w:rPr>
                      <w:rFonts w:hint="default" w:ascii="Times New Roman" w:hAnsi="Times New Roman" w:eastAsia="宋体" w:cs="Times New Roman"/>
                      <w:smallCaps w:val="0"/>
                      <w:color w:val="auto"/>
                      <w:spacing w:val="0"/>
                      <w:kern w:val="0"/>
                      <w:position w:val="0"/>
                      <w:sz w:val="21"/>
                      <w:szCs w:val="21"/>
                    </w:rPr>
                    <w:t>2mm厚600g/m</w:t>
                  </w:r>
                  <w:r>
                    <w:rPr>
                      <w:rFonts w:hint="default" w:ascii="Times New Roman" w:hAnsi="Times New Roman" w:eastAsia="宋体" w:cs="Times New Roman"/>
                      <w:smallCaps w:val="0"/>
                      <w:color w:val="auto"/>
                      <w:spacing w:val="0"/>
                      <w:kern w:val="0"/>
                      <w:position w:val="0"/>
                      <w:sz w:val="21"/>
                      <w:szCs w:val="21"/>
                      <w:vertAlign w:val="superscript"/>
                    </w:rPr>
                    <w:t>2</w:t>
                  </w:r>
                  <w:r>
                    <w:rPr>
                      <w:rFonts w:hint="default" w:ascii="Times New Roman" w:hAnsi="Times New Roman" w:eastAsia="宋体" w:cs="Times New Roman"/>
                      <w:smallCaps w:val="0"/>
                      <w:color w:val="auto"/>
                      <w:spacing w:val="0"/>
                      <w:kern w:val="0"/>
                      <w:position w:val="0"/>
                      <w:sz w:val="21"/>
                      <w:szCs w:val="21"/>
                    </w:rPr>
                    <w:t>HDPE膜；</w:t>
                  </w:r>
                  <w:r>
                    <w:rPr>
                      <w:rFonts w:hint="default" w:ascii="Times New Roman" w:hAnsi="Times New Roman" w:eastAsia="宋体" w:cs="Times New Roman"/>
                      <w:smallCaps w:val="0"/>
                      <w:color w:val="auto"/>
                      <w:spacing w:val="0"/>
                      <w:kern w:val="0"/>
                      <w:position w:val="0"/>
                      <w:sz w:val="21"/>
                      <w:szCs w:val="21"/>
                    </w:rPr>
                    <w:fldChar w:fldCharType="begin"/>
                  </w:r>
                  <w:r>
                    <w:rPr>
                      <w:rFonts w:hint="default" w:ascii="Times New Roman" w:hAnsi="Times New Roman" w:eastAsia="宋体" w:cs="Times New Roman"/>
                      <w:smallCaps w:val="0"/>
                      <w:color w:val="auto"/>
                      <w:spacing w:val="0"/>
                      <w:kern w:val="0"/>
                      <w:position w:val="0"/>
                      <w:sz w:val="21"/>
                      <w:szCs w:val="21"/>
                    </w:rPr>
                    <w:instrText xml:space="preserve"> = 3 \* GB3 \* MERGEFORMAT </w:instrText>
                  </w:r>
                  <w:r>
                    <w:rPr>
                      <w:rFonts w:hint="default" w:ascii="Times New Roman" w:hAnsi="Times New Roman" w:eastAsia="宋体" w:cs="Times New Roman"/>
                      <w:smallCaps w:val="0"/>
                      <w:color w:val="auto"/>
                      <w:spacing w:val="0"/>
                      <w:kern w:val="0"/>
                      <w:position w:val="0"/>
                      <w:sz w:val="21"/>
                      <w:szCs w:val="21"/>
                    </w:rPr>
                    <w:fldChar w:fldCharType="separate"/>
                  </w:r>
                  <w:r>
                    <w:rPr>
                      <w:rFonts w:hint="default" w:ascii="Times New Roman" w:hAnsi="Times New Roman" w:eastAsia="宋体" w:cs="Times New Roman"/>
                      <w:smallCaps w:val="0"/>
                      <w:color w:val="auto"/>
                      <w:spacing w:val="0"/>
                      <w:kern w:val="0"/>
                      <w:position w:val="0"/>
                      <w:sz w:val="21"/>
                      <w:szCs w:val="21"/>
                    </w:rPr>
                    <w:t>③</w:t>
                  </w:r>
                  <w:r>
                    <w:rPr>
                      <w:rFonts w:hint="default" w:ascii="Times New Roman" w:hAnsi="Times New Roman" w:eastAsia="宋体" w:cs="Times New Roman"/>
                      <w:smallCaps w:val="0"/>
                      <w:color w:val="auto"/>
                      <w:spacing w:val="0"/>
                      <w:kern w:val="0"/>
                      <w:position w:val="0"/>
                      <w:sz w:val="21"/>
                      <w:szCs w:val="21"/>
                    </w:rPr>
                    <w:fldChar w:fldCharType="end"/>
                  </w:r>
                  <w:r>
                    <w:rPr>
                      <w:rFonts w:hint="default" w:ascii="Times New Roman" w:hAnsi="Times New Roman" w:eastAsia="宋体" w:cs="Times New Roman"/>
                      <w:smallCaps w:val="0"/>
                      <w:color w:val="auto"/>
                      <w:spacing w:val="0"/>
                      <w:kern w:val="0"/>
                      <w:position w:val="0"/>
                      <w:sz w:val="21"/>
                      <w:szCs w:val="21"/>
                    </w:rPr>
                    <w:t>土工布保护层；</w:t>
                  </w:r>
                  <w:r>
                    <w:rPr>
                      <w:rFonts w:hint="default" w:ascii="Times New Roman" w:hAnsi="Times New Roman" w:eastAsia="宋体" w:cs="Times New Roman"/>
                      <w:smallCaps w:val="0"/>
                      <w:color w:val="auto"/>
                      <w:spacing w:val="0"/>
                      <w:kern w:val="0"/>
                      <w:position w:val="0"/>
                      <w:sz w:val="21"/>
                      <w:szCs w:val="21"/>
                    </w:rPr>
                    <w:fldChar w:fldCharType="begin"/>
                  </w:r>
                  <w:r>
                    <w:rPr>
                      <w:rFonts w:hint="default" w:ascii="Times New Roman" w:hAnsi="Times New Roman" w:eastAsia="宋体" w:cs="Times New Roman"/>
                      <w:smallCaps w:val="0"/>
                      <w:color w:val="auto"/>
                      <w:spacing w:val="0"/>
                      <w:kern w:val="0"/>
                      <w:position w:val="0"/>
                      <w:sz w:val="21"/>
                      <w:szCs w:val="21"/>
                    </w:rPr>
                    <w:instrText xml:space="preserve"> = 4 \* GB3 \* MERGEFORMAT </w:instrText>
                  </w:r>
                  <w:r>
                    <w:rPr>
                      <w:rFonts w:hint="default" w:ascii="Times New Roman" w:hAnsi="Times New Roman" w:eastAsia="宋体" w:cs="Times New Roman"/>
                      <w:smallCaps w:val="0"/>
                      <w:color w:val="auto"/>
                      <w:spacing w:val="0"/>
                      <w:kern w:val="0"/>
                      <w:position w:val="0"/>
                      <w:sz w:val="21"/>
                      <w:szCs w:val="21"/>
                    </w:rPr>
                    <w:fldChar w:fldCharType="separate"/>
                  </w:r>
                  <w:r>
                    <w:rPr>
                      <w:rFonts w:hint="default" w:ascii="Times New Roman" w:hAnsi="Times New Roman" w:eastAsia="宋体" w:cs="Times New Roman"/>
                      <w:smallCaps w:val="0"/>
                      <w:color w:val="auto"/>
                      <w:spacing w:val="0"/>
                      <w:kern w:val="0"/>
                      <w:position w:val="0"/>
                      <w:sz w:val="21"/>
                      <w:szCs w:val="21"/>
                    </w:rPr>
                    <w:t>④</w:t>
                  </w:r>
                  <w:r>
                    <w:rPr>
                      <w:rFonts w:hint="default" w:ascii="Times New Roman" w:hAnsi="Times New Roman" w:eastAsia="宋体" w:cs="Times New Roman"/>
                      <w:smallCaps w:val="0"/>
                      <w:color w:val="auto"/>
                      <w:spacing w:val="0"/>
                      <w:kern w:val="0"/>
                      <w:position w:val="0"/>
                      <w:sz w:val="21"/>
                      <w:szCs w:val="21"/>
                    </w:rPr>
                    <w:fldChar w:fldCharType="end"/>
                  </w:r>
                  <w:r>
                    <w:rPr>
                      <w:rFonts w:hint="default" w:ascii="Times New Roman" w:hAnsi="Times New Roman" w:eastAsia="宋体" w:cs="Times New Roman"/>
                      <w:smallCaps w:val="0"/>
                      <w:color w:val="auto"/>
                      <w:spacing w:val="0"/>
                      <w:kern w:val="0"/>
                      <w:position w:val="0"/>
                      <w:sz w:val="21"/>
                      <w:szCs w:val="21"/>
                    </w:rPr>
                    <w:t>0.12m厚混凝土层；</w:t>
                  </w:r>
                  <w:r>
                    <w:rPr>
                      <w:rFonts w:hint="default" w:ascii="Times New Roman" w:hAnsi="Times New Roman" w:eastAsia="宋体" w:cs="Times New Roman"/>
                      <w:smallCaps w:val="0"/>
                      <w:color w:val="auto"/>
                      <w:spacing w:val="0"/>
                      <w:kern w:val="0"/>
                      <w:position w:val="0"/>
                      <w:sz w:val="21"/>
                      <w:szCs w:val="21"/>
                    </w:rPr>
                    <w:fldChar w:fldCharType="begin"/>
                  </w:r>
                  <w:r>
                    <w:rPr>
                      <w:rFonts w:hint="default" w:ascii="Times New Roman" w:hAnsi="Times New Roman" w:eastAsia="宋体" w:cs="Times New Roman"/>
                      <w:smallCaps w:val="0"/>
                      <w:color w:val="auto"/>
                      <w:spacing w:val="0"/>
                      <w:kern w:val="0"/>
                      <w:position w:val="0"/>
                      <w:sz w:val="21"/>
                      <w:szCs w:val="21"/>
                    </w:rPr>
                    <w:instrText xml:space="preserve"> = 5 \* GB3 \* MERGEFORMAT </w:instrText>
                  </w:r>
                  <w:r>
                    <w:rPr>
                      <w:rFonts w:hint="default" w:ascii="Times New Roman" w:hAnsi="Times New Roman" w:eastAsia="宋体" w:cs="Times New Roman"/>
                      <w:smallCaps w:val="0"/>
                      <w:color w:val="auto"/>
                      <w:spacing w:val="0"/>
                      <w:kern w:val="0"/>
                      <w:position w:val="0"/>
                      <w:sz w:val="21"/>
                      <w:szCs w:val="21"/>
                    </w:rPr>
                    <w:fldChar w:fldCharType="separate"/>
                  </w:r>
                  <w:r>
                    <w:rPr>
                      <w:rFonts w:hint="default" w:ascii="Times New Roman" w:hAnsi="Times New Roman" w:eastAsia="宋体" w:cs="Times New Roman"/>
                      <w:smallCaps w:val="0"/>
                      <w:color w:val="auto"/>
                      <w:spacing w:val="0"/>
                      <w:kern w:val="0"/>
                      <w:position w:val="0"/>
                      <w:sz w:val="21"/>
                      <w:szCs w:val="21"/>
                    </w:rPr>
                    <w:t>⑤</w:t>
                  </w:r>
                  <w:r>
                    <w:rPr>
                      <w:rFonts w:hint="default" w:ascii="Times New Roman" w:hAnsi="Times New Roman" w:eastAsia="宋体" w:cs="Times New Roman"/>
                      <w:smallCaps w:val="0"/>
                      <w:color w:val="auto"/>
                      <w:spacing w:val="0"/>
                      <w:kern w:val="0"/>
                      <w:position w:val="0"/>
                      <w:sz w:val="21"/>
                      <w:szCs w:val="21"/>
                    </w:rPr>
                    <w:fldChar w:fldCharType="end"/>
                  </w:r>
                  <w:r>
                    <w:rPr>
                      <w:rFonts w:hint="default" w:ascii="Times New Roman" w:hAnsi="Times New Roman" w:eastAsia="宋体" w:cs="Times New Roman"/>
                      <w:smallCaps w:val="0"/>
                      <w:color w:val="auto"/>
                      <w:spacing w:val="0"/>
                      <w:kern w:val="0"/>
                      <w:position w:val="0"/>
                      <w:sz w:val="21"/>
                      <w:szCs w:val="21"/>
                    </w:rPr>
                    <w:t>4mm厚环氧树脂防渗、耐腐蚀涂层（渗透系数≤10</w:t>
                  </w:r>
                  <w:r>
                    <w:rPr>
                      <w:rFonts w:hint="default" w:ascii="Times New Roman" w:hAnsi="Times New Roman" w:eastAsia="宋体" w:cs="Times New Roman"/>
                      <w:smallCaps w:val="0"/>
                      <w:color w:val="auto"/>
                      <w:spacing w:val="0"/>
                      <w:kern w:val="0"/>
                      <w:position w:val="0"/>
                      <w:sz w:val="21"/>
                      <w:szCs w:val="21"/>
                      <w:vertAlign w:val="superscript"/>
                    </w:rPr>
                    <w:t>-10</w:t>
                  </w:r>
                  <w:r>
                    <w:rPr>
                      <w:rFonts w:hint="default" w:ascii="Times New Roman" w:hAnsi="Times New Roman" w:eastAsia="宋体" w:cs="Times New Roman"/>
                      <w:smallCaps w:val="0"/>
                      <w:color w:val="auto"/>
                      <w:spacing w:val="0"/>
                      <w:kern w:val="0"/>
                      <w:position w:val="0"/>
                      <w:sz w:val="21"/>
                      <w:szCs w:val="21"/>
                    </w:rPr>
                    <w:t>cm/s）</w:t>
                  </w:r>
                </w:p>
              </w:tc>
              <w:tc>
                <w:tcPr>
                  <w:tcW w:w="402" w:type="pct"/>
                  <w:noWrap w:val="0"/>
                  <w:vAlign w:val="center"/>
                </w:tcPr>
                <w:p w14:paraId="36E9EE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mallCaps w:val="0"/>
                      <w:color w:val="auto"/>
                      <w:spacing w:val="0"/>
                      <w:kern w:val="0"/>
                      <w:position w:val="0"/>
                      <w:sz w:val="21"/>
                      <w:szCs w:val="21"/>
                    </w:rPr>
                  </w:pPr>
                  <w:r>
                    <w:rPr>
                      <w:rFonts w:hint="default" w:ascii="Times New Roman" w:hAnsi="Times New Roman" w:eastAsia="宋体" w:cs="Times New Roman"/>
                      <w:smallCaps w:val="0"/>
                      <w:color w:val="auto"/>
                      <w:spacing w:val="0"/>
                      <w:kern w:val="0"/>
                      <w:position w:val="0"/>
                      <w:sz w:val="21"/>
                      <w:szCs w:val="21"/>
                    </w:rPr>
                    <w:t>符合</w:t>
                  </w:r>
                </w:p>
              </w:tc>
            </w:tr>
          </w:tbl>
          <w:p w14:paraId="2F989516">
            <w:pPr>
              <w:pStyle w:val="43"/>
              <w:spacing w:after="0"/>
              <w:ind w:left="0" w:leftChars="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③应急响应措施</w:t>
            </w:r>
          </w:p>
          <w:p w14:paraId="1E4D3193">
            <w:pPr>
              <w:pStyle w:val="43"/>
              <w:spacing w:after="0"/>
              <w:ind w:left="0" w:leftChars="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制定风险事故应急响应的目的是为了在发生风险事故时，能以最快的速度发挥最大的效能，尽快控制事态的发展，降低事故对地下水及土壤的污染。根据地下水、土壤跟踪监测结果，一旦发现地下水和土壤污染事故，应立即启动应急预案。控制污染源，使用吸附材料及时处理泄漏污染物，或者将泄漏的液体引流到事故池，切断污染物的入渗，并查清渗漏点，对渗漏点进行及时修复，采用灰浆帷幕法等各种物理屏障，将受污染水体圈闭起来，以防止污染物进一步扩散蔓延，对已经受污染的地下水采取抽出-处理-回灌的方法进行处理，并继续跟踪监测地下水的水质状况。</w:t>
            </w:r>
          </w:p>
          <w:p w14:paraId="61D0895D">
            <w:pPr>
              <w:pStyle w:val="43"/>
              <w:spacing w:after="0"/>
              <w:ind w:left="0" w:leftChars="0" w:firstLine="0" w:firstLineChars="0"/>
              <w:rPr>
                <w:rFonts w:hint="default" w:ascii="Times New Roman" w:hAnsi="Times New Roman" w:eastAsia="宋体" w:cs="Times New Roman"/>
                <w:b/>
                <w:bCs/>
                <w:color w:val="auto"/>
                <w:kern w:val="0"/>
                <w:sz w:val="24"/>
                <w:szCs w:val="24"/>
              </w:rPr>
            </w:pPr>
            <w:r>
              <w:rPr>
                <w:rFonts w:hint="default" w:ascii="Times New Roman" w:hAnsi="Times New Roman" w:eastAsia="宋体" w:cs="Times New Roman"/>
                <w:b/>
                <w:bCs/>
                <w:color w:val="auto"/>
                <w:kern w:val="0"/>
                <w:sz w:val="24"/>
                <w:szCs w:val="24"/>
                <w:lang w:val="en-US" w:eastAsia="zh-CN"/>
              </w:rPr>
              <w:t>5.3</w:t>
            </w:r>
            <w:r>
              <w:rPr>
                <w:rFonts w:hint="default" w:ascii="Times New Roman" w:hAnsi="Times New Roman" w:eastAsia="宋体" w:cs="Times New Roman"/>
                <w:b/>
                <w:bCs/>
                <w:color w:val="auto"/>
                <w:kern w:val="0"/>
                <w:sz w:val="24"/>
                <w:szCs w:val="24"/>
              </w:rPr>
              <w:t>地下水、土壤环境影响分析</w:t>
            </w:r>
          </w:p>
          <w:p w14:paraId="0E699475">
            <w:pPr>
              <w:pStyle w:val="43"/>
              <w:spacing w:after="0"/>
              <w:ind w:left="0" w:leftChars="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本项目可能对地下水、土壤产生影响的主要区域在危废堆场、生产车间、原</w:t>
            </w:r>
            <w:r>
              <w:rPr>
                <w:rFonts w:hint="default" w:ascii="Times New Roman" w:hAnsi="Times New Roman" w:eastAsia="宋体" w:cs="Times New Roman"/>
                <w:color w:val="auto"/>
                <w:kern w:val="0"/>
                <w:sz w:val="24"/>
                <w:szCs w:val="24"/>
                <w:lang w:val="en-US" w:eastAsia="zh-CN"/>
              </w:rPr>
              <w:t>辅</w:t>
            </w:r>
            <w:r>
              <w:rPr>
                <w:rFonts w:hint="default" w:ascii="Times New Roman" w:hAnsi="Times New Roman" w:eastAsia="宋体" w:cs="Times New Roman"/>
                <w:color w:val="auto"/>
                <w:kern w:val="0"/>
                <w:sz w:val="24"/>
                <w:szCs w:val="24"/>
              </w:rPr>
              <w:t>料</w:t>
            </w:r>
            <w:r>
              <w:rPr>
                <w:rFonts w:hint="default" w:ascii="Times New Roman" w:hAnsi="Times New Roman" w:eastAsia="宋体" w:cs="Times New Roman"/>
                <w:color w:val="auto"/>
                <w:kern w:val="0"/>
                <w:sz w:val="24"/>
                <w:szCs w:val="24"/>
                <w:lang w:val="en-US" w:eastAsia="zh-CN"/>
              </w:rPr>
              <w:t>堆场</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eastAsia="zh-CN"/>
              </w:rPr>
              <w:t>事故应急</w:t>
            </w:r>
            <w:r>
              <w:rPr>
                <w:rFonts w:hint="eastAsia" w:cs="Times New Roman"/>
                <w:color w:val="auto"/>
                <w:kern w:val="0"/>
                <w:sz w:val="24"/>
                <w:szCs w:val="24"/>
                <w:lang w:val="en-US" w:eastAsia="zh-CN"/>
              </w:rPr>
              <w:t>桶</w:t>
            </w:r>
            <w:r>
              <w:rPr>
                <w:rFonts w:hint="default" w:ascii="Times New Roman" w:hAnsi="Times New Roman" w:eastAsia="宋体" w:cs="Times New Roman"/>
                <w:color w:val="auto"/>
                <w:kern w:val="0"/>
                <w:sz w:val="24"/>
                <w:szCs w:val="24"/>
              </w:rPr>
              <w:t>，但因本项目一般防渗区、重点防渗区均考虑采取地下水防渗处理措施。正常生产过程中的跑冒滴漏不会下渗到地下水、土壤中。室外管道和阀门的跑冒滴漏水量较小，且本项目用地现状为工业用地，确保各项防渗措施得以落实、加强维护和厂区环境管理的前提下，正常工况下对地下水、土壤基本无渗漏，污染较小。</w:t>
            </w:r>
          </w:p>
          <w:p w14:paraId="34DFDC6D">
            <w:pPr>
              <w:adjustRightInd w:val="0"/>
              <w:snapToGrid w:val="0"/>
              <w:spacing w:line="460" w:lineRule="exact"/>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6、生态</w:t>
            </w:r>
          </w:p>
          <w:p w14:paraId="2FDC5853">
            <w:pPr>
              <w:pStyle w:val="2"/>
              <w:spacing w:after="0"/>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bCs/>
                <w:color w:val="auto"/>
                <w:sz w:val="24"/>
                <w:szCs w:val="24"/>
              </w:rPr>
              <w:t>本</w:t>
            </w:r>
            <w:r>
              <w:rPr>
                <w:rFonts w:hint="default" w:ascii="Times New Roman" w:hAnsi="Times New Roman" w:eastAsia="宋体" w:cs="Times New Roman"/>
                <w:color w:val="auto"/>
                <w:sz w:val="24"/>
                <w:szCs w:val="24"/>
              </w:rPr>
              <w:t>项目位于</w:t>
            </w:r>
            <w:r>
              <w:rPr>
                <w:rFonts w:hint="default" w:ascii="Times New Roman" w:hAnsi="Times New Roman" w:eastAsia="宋体" w:cs="Times New Roman"/>
                <w:color w:val="auto"/>
                <w:sz w:val="24"/>
                <w:szCs w:val="24"/>
                <w:lang w:val="en-US" w:eastAsia="zh-CN"/>
              </w:rPr>
              <w:t>金坛经济</w:t>
            </w:r>
            <w:r>
              <w:rPr>
                <w:rFonts w:hint="default" w:ascii="Times New Roman" w:hAnsi="Times New Roman" w:eastAsia="宋体" w:cs="Times New Roman"/>
                <w:color w:val="auto"/>
                <w:sz w:val="24"/>
                <w:szCs w:val="24"/>
                <w:lang w:eastAsia="zh-CN"/>
              </w:rPr>
              <w:t>开发区</w:t>
            </w:r>
            <w:r>
              <w:rPr>
                <w:rFonts w:hint="default" w:ascii="Times New Roman" w:hAnsi="Times New Roman" w:eastAsia="宋体" w:cs="Times New Roman"/>
                <w:color w:val="auto"/>
                <w:sz w:val="24"/>
                <w:szCs w:val="24"/>
                <w:lang w:val="zh-CN"/>
              </w:rPr>
              <w:t>范围内，用地范围内</w:t>
            </w:r>
            <w:r>
              <w:rPr>
                <w:rFonts w:hint="default" w:ascii="Times New Roman" w:hAnsi="Times New Roman" w:eastAsia="宋体" w:cs="Times New Roman"/>
                <w:color w:val="auto"/>
                <w:sz w:val="24"/>
                <w:szCs w:val="24"/>
              </w:rPr>
              <w:t>不</w:t>
            </w:r>
            <w:r>
              <w:rPr>
                <w:rFonts w:hint="default" w:ascii="Times New Roman" w:hAnsi="Times New Roman" w:eastAsia="宋体" w:cs="Times New Roman"/>
                <w:color w:val="auto"/>
                <w:sz w:val="24"/>
                <w:szCs w:val="24"/>
                <w:lang w:val="zh-CN"/>
              </w:rPr>
              <w:t>含有生态环境保护目标，</w:t>
            </w:r>
            <w:r>
              <w:rPr>
                <w:rFonts w:hint="default" w:ascii="Times New Roman" w:hAnsi="Times New Roman" w:eastAsia="宋体" w:cs="Times New Roman"/>
                <w:color w:val="auto"/>
                <w:sz w:val="24"/>
                <w:szCs w:val="24"/>
              </w:rPr>
              <w:t>无需</w:t>
            </w:r>
            <w:r>
              <w:rPr>
                <w:rFonts w:hint="default" w:ascii="Times New Roman" w:hAnsi="Times New Roman" w:eastAsia="宋体" w:cs="Times New Roman"/>
                <w:color w:val="auto"/>
                <w:sz w:val="24"/>
                <w:szCs w:val="24"/>
                <w:lang w:val="zh-CN"/>
              </w:rPr>
              <w:t>进行生态评价或生态环境影响分析。</w:t>
            </w:r>
          </w:p>
          <w:p w14:paraId="25980E18">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7、环境风险</w:t>
            </w:r>
          </w:p>
          <w:p w14:paraId="62A1DABC">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7.1风险物质识别</w:t>
            </w:r>
          </w:p>
          <w:p w14:paraId="08DFF7B8">
            <w:pPr>
              <w:pStyle w:val="43"/>
              <w:snapToGrid w:val="0"/>
              <w:spacing w:after="0"/>
              <w:ind w:left="0" w:leftChars="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项目涉及的具体环境风险物质识别如下表。</w:t>
            </w:r>
          </w:p>
          <w:p w14:paraId="60465C20">
            <w:pPr>
              <w:snapToGrid w:val="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eastAsia="宋体" w:cs="Times New Roman"/>
                <w:b/>
                <w:color w:val="auto"/>
                <w:sz w:val="21"/>
                <w:szCs w:val="21"/>
                <w:lang w:val="en-US" w:eastAsia="zh-CN"/>
              </w:rPr>
              <w:t>.7</w:t>
            </w:r>
            <w:r>
              <w:rPr>
                <w:rFonts w:hint="default" w:ascii="Times New Roman" w:hAnsi="Times New Roman" w:eastAsia="宋体" w:cs="Times New Roman"/>
                <w:b/>
                <w:color w:val="auto"/>
                <w:sz w:val="21"/>
                <w:szCs w:val="21"/>
              </w:rPr>
              <w:t>-</w:t>
            </w:r>
            <w:r>
              <w:rPr>
                <w:rFonts w:hint="default" w:ascii="Times New Roman" w:hAnsi="Times New Roman" w:eastAsia="宋体" w:cs="Times New Roman"/>
                <w:b/>
                <w:color w:val="auto"/>
                <w:sz w:val="21"/>
                <w:szCs w:val="21"/>
                <w:lang w:val="en-US" w:eastAsia="zh-CN"/>
              </w:rPr>
              <w:t>1</w:t>
            </w:r>
            <w:r>
              <w:rPr>
                <w:rFonts w:hint="default" w:ascii="Times New Roman" w:hAnsi="Times New Roman" w:eastAsia="宋体" w:cs="Times New Roman"/>
                <w:b/>
                <w:color w:val="auto"/>
                <w:sz w:val="21"/>
                <w:szCs w:val="21"/>
              </w:rPr>
              <w:t xml:space="preserve">  风险物质分析表</w:t>
            </w:r>
          </w:p>
          <w:tbl>
            <w:tblPr>
              <w:tblStyle w:val="44"/>
              <w:tblW w:w="498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08"/>
              <w:gridCol w:w="1096"/>
              <w:gridCol w:w="623"/>
              <w:gridCol w:w="947"/>
              <w:gridCol w:w="1017"/>
              <w:gridCol w:w="1541"/>
              <w:gridCol w:w="1702"/>
              <w:gridCol w:w="1918"/>
            </w:tblGrid>
            <w:tr w14:paraId="66656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70" w:type="pct"/>
                  <w:tcBorders>
                    <w:tl2br w:val="nil"/>
                    <w:tr2bl w:val="nil"/>
                  </w:tcBorders>
                  <w:noWrap w:val="0"/>
                  <w:vAlign w:val="center"/>
                </w:tcPr>
                <w:p w14:paraId="7B11508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物质来源</w:t>
                  </w:r>
                </w:p>
              </w:tc>
              <w:tc>
                <w:tcPr>
                  <w:tcW w:w="573" w:type="pct"/>
                  <w:tcBorders>
                    <w:tl2br w:val="nil"/>
                    <w:tr2bl w:val="nil"/>
                  </w:tcBorders>
                  <w:noWrap w:val="0"/>
                  <w:vAlign w:val="center"/>
                </w:tcPr>
                <w:p w14:paraId="10A7768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物质名称</w:t>
                  </w:r>
                </w:p>
              </w:tc>
              <w:tc>
                <w:tcPr>
                  <w:tcW w:w="326" w:type="pct"/>
                  <w:tcBorders>
                    <w:tl2br w:val="nil"/>
                    <w:tr2bl w:val="nil"/>
                  </w:tcBorders>
                  <w:noWrap w:val="0"/>
                  <w:vAlign w:val="center"/>
                </w:tcPr>
                <w:p w14:paraId="040FB78E">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状态</w:t>
                  </w:r>
                </w:p>
              </w:tc>
              <w:tc>
                <w:tcPr>
                  <w:tcW w:w="495" w:type="pct"/>
                  <w:tcBorders>
                    <w:tl2br w:val="nil"/>
                    <w:tr2bl w:val="nil"/>
                  </w:tcBorders>
                  <w:noWrap w:val="0"/>
                  <w:vAlign w:val="center"/>
                </w:tcPr>
                <w:p w14:paraId="49CFF17E">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闪点℃</w:t>
                  </w:r>
                </w:p>
              </w:tc>
              <w:tc>
                <w:tcPr>
                  <w:tcW w:w="532" w:type="pct"/>
                  <w:tcBorders>
                    <w:tl2br w:val="nil"/>
                    <w:tr2bl w:val="nil"/>
                  </w:tcBorders>
                  <w:noWrap w:val="0"/>
                  <w:vAlign w:val="center"/>
                </w:tcPr>
                <w:p w14:paraId="11CC2A9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熔点℃</w:t>
                  </w:r>
                </w:p>
              </w:tc>
              <w:tc>
                <w:tcPr>
                  <w:tcW w:w="806" w:type="pct"/>
                  <w:tcBorders>
                    <w:tl2br w:val="nil"/>
                    <w:tr2bl w:val="nil"/>
                  </w:tcBorders>
                  <w:noWrap w:val="0"/>
                  <w:vAlign w:val="center"/>
                </w:tcPr>
                <w:p w14:paraId="28197E18">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毒理毒性</w:t>
                  </w:r>
                </w:p>
              </w:tc>
              <w:tc>
                <w:tcPr>
                  <w:tcW w:w="890" w:type="pct"/>
                  <w:tcBorders>
                    <w:tl2br w:val="nil"/>
                    <w:tr2bl w:val="nil"/>
                  </w:tcBorders>
                  <w:noWrap w:val="0"/>
                  <w:vAlign w:val="center"/>
                </w:tcPr>
                <w:p w14:paraId="293CBDA2">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燃烧性</w:t>
                  </w:r>
                </w:p>
              </w:tc>
              <w:tc>
                <w:tcPr>
                  <w:tcW w:w="1003" w:type="pct"/>
                  <w:tcBorders>
                    <w:tl2br w:val="nil"/>
                    <w:tr2bl w:val="nil"/>
                  </w:tcBorders>
                  <w:noWrap w:val="0"/>
                  <w:vAlign w:val="center"/>
                </w:tcPr>
                <w:p w14:paraId="3F3EAF2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物质风险类型</w:t>
                  </w:r>
                </w:p>
              </w:tc>
            </w:tr>
            <w:tr w14:paraId="02D4B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70" w:type="pct"/>
                  <w:vMerge w:val="restart"/>
                  <w:tcBorders>
                    <w:tl2br w:val="nil"/>
                    <w:tr2bl w:val="nil"/>
                  </w:tcBorders>
                  <w:noWrap w:val="0"/>
                  <w:vAlign w:val="center"/>
                </w:tcPr>
                <w:p w14:paraId="0D605B2F">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原辅料</w:t>
                  </w:r>
                </w:p>
              </w:tc>
              <w:tc>
                <w:tcPr>
                  <w:tcW w:w="573" w:type="pct"/>
                  <w:tcBorders>
                    <w:tl2br w:val="nil"/>
                    <w:tr2bl w:val="nil"/>
                  </w:tcBorders>
                  <w:shd w:val="clear" w:color="auto" w:fill="auto"/>
                  <w:noWrap w:val="0"/>
                  <w:vAlign w:val="center"/>
                </w:tcPr>
                <w:p w14:paraId="2D7D7727">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ESO</w:t>
                  </w:r>
                </w:p>
              </w:tc>
              <w:tc>
                <w:tcPr>
                  <w:tcW w:w="326" w:type="pct"/>
                  <w:tcBorders>
                    <w:tl2br w:val="nil"/>
                    <w:tr2bl w:val="nil"/>
                  </w:tcBorders>
                  <w:shd w:val="clear" w:color="auto" w:fill="auto"/>
                  <w:noWrap w:val="0"/>
                  <w:vAlign w:val="center"/>
                </w:tcPr>
                <w:p w14:paraId="4B6DB7E9">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液态</w:t>
                  </w:r>
                </w:p>
              </w:tc>
              <w:tc>
                <w:tcPr>
                  <w:tcW w:w="495" w:type="pct"/>
                  <w:tcBorders>
                    <w:tl2br w:val="nil"/>
                    <w:tr2bl w:val="nil"/>
                  </w:tcBorders>
                  <w:shd w:val="clear" w:color="auto" w:fill="auto"/>
                  <w:noWrap w:val="0"/>
                  <w:vAlign w:val="center"/>
                </w:tcPr>
                <w:p w14:paraId="4B29074E">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32" w:type="pct"/>
                  <w:tcBorders>
                    <w:tl2br w:val="nil"/>
                    <w:tr2bl w:val="nil"/>
                  </w:tcBorders>
                  <w:shd w:val="clear" w:color="auto" w:fill="auto"/>
                  <w:noWrap w:val="0"/>
                  <w:vAlign w:val="center"/>
                </w:tcPr>
                <w:p w14:paraId="045A577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w:t>
                  </w:r>
                </w:p>
              </w:tc>
              <w:tc>
                <w:tcPr>
                  <w:tcW w:w="806" w:type="pct"/>
                  <w:tcBorders>
                    <w:tl2br w:val="nil"/>
                    <w:tr2bl w:val="nil"/>
                  </w:tcBorders>
                  <w:shd w:val="clear" w:color="auto" w:fill="auto"/>
                  <w:noWrap w:val="0"/>
                  <w:vAlign w:val="center"/>
                </w:tcPr>
                <w:p w14:paraId="77D0E7D5">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rPr>
                    <w:t>无资料</w:t>
                  </w:r>
                </w:p>
              </w:tc>
              <w:tc>
                <w:tcPr>
                  <w:tcW w:w="890" w:type="pct"/>
                  <w:tcBorders>
                    <w:tl2br w:val="nil"/>
                    <w:tr2bl w:val="nil"/>
                  </w:tcBorders>
                  <w:shd w:val="clear" w:color="auto" w:fill="auto"/>
                  <w:noWrap w:val="0"/>
                  <w:vAlign w:val="center"/>
                </w:tcPr>
                <w:p w14:paraId="2E04437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可燃</w:t>
                  </w:r>
                </w:p>
              </w:tc>
              <w:tc>
                <w:tcPr>
                  <w:tcW w:w="1003" w:type="pct"/>
                  <w:tcBorders>
                    <w:tl2br w:val="nil"/>
                    <w:tr2bl w:val="nil"/>
                  </w:tcBorders>
                  <w:noWrap w:val="0"/>
                  <w:vAlign w:val="center"/>
                </w:tcPr>
                <w:p w14:paraId="5E109A56">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泄漏；火灾引发伴生/次生污染物排放</w:t>
                  </w:r>
                </w:p>
              </w:tc>
            </w:tr>
            <w:tr w14:paraId="74C71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70" w:type="pct"/>
                  <w:vMerge w:val="continue"/>
                  <w:tcBorders>
                    <w:tl2br w:val="nil"/>
                    <w:tr2bl w:val="nil"/>
                  </w:tcBorders>
                  <w:noWrap w:val="0"/>
                  <w:vAlign w:val="center"/>
                </w:tcPr>
                <w:p w14:paraId="6CAA5813">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73" w:type="pct"/>
                  <w:tcBorders>
                    <w:tl2br w:val="nil"/>
                    <w:tr2bl w:val="nil"/>
                  </w:tcBorders>
                  <w:shd w:val="clear" w:color="auto" w:fill="auto"/>
                  <w:noWrap w:val="0"/>
                  <w:vAlign w:val="center"/>
                </w:tcPr>
                <w:p w14:paraId="2A60232E">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齿轮油</w:t>
                  </w:r>
                </w:p>
              </w:tc>
              <w:tc>
                <w:tcPr>
                  <w:tcW w:w="326" w:type="pct"/>
                  <w:tcBorders>
                    <w:tl2br w:val="nil"/>
                    <w:tr2bl w:val="nil"/>
                  </w:tcBorders>
                  <w:shd w:val="clear" w:color="auto" w:fill="auto"/>
                  <w:noWrap w:val="0"/>
                  <w:vAlign w:val="center"/>
                </w:tcPr>
                <w:p w14:paraId="47930150">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液态</w:t>
                  </w:r>
                </w:p>
              </w:tc>
              <w:tc>
                <w:tcPr>
                  <w:tcW w:w="495" w:type="pct"/>
                  <w:tcBorders>
                    <w:tl2br w:val="nil"/>
                    <w:tr2bl w:val="nil"/>
                  </w:tcBorders>
                  <w:shd w:val="clear" w:color="auto" w:fill="auto"/>
                  <w:noWrap w:val="0"/>
                  <w:vAlign w:val="center"/>
                </w:tcPr>
                <w:p w14:paraId="7BB64D2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32" w:type="pct"/>
                  <w:tcBorders>
                    <w:tl2br w:val="nil"/>
                    <w:tr2bl w:val="nil"/>
                  </w:tcBorders>
                  <w:shd w:val="clear" w:color="auto" w:fill="auto"/>
                  <w:noWrap w:val="0"/>
                  <w:vAlign w:val="center"/>
                </w:tcPr>
                <w:p w14:paraId="333B9B0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w:t>
                  </w:r>
                </w:p>
              </w:tc>
              <w:tc>
                <w:tcPr>
                  <w:tcW w:w="806" w:type="pct"/>
                  <w:tcBorders>
                    <w:tl2br w:val="nil"/>
                    <w:tr2bl w:val="nil"/>
                  </w:tcBorders>
                  <w:shd w:val="clear" w:color="auto" w:fill="auto"/>
                  <w:noWrap w:val="0"/>
                  <w:vAlign w:val="center"/>
                </w:tcPr>
                <w:p w14:paraId="5334DEB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rPr>
                    <w:t>无资料</w:t>
                  </w:r>
                </w:p>
              </w:tc>
              <w:tc>
                <w:tcPr>
                  <w:tcW w:w="890" w:type="pct"/>
                  <w:tcBorders>
                    <w:tl2br w:val="nil"/>
                    <w:tr2bl w:val="nil"/>
                  </w:tcBorders>
                  <w:shd w:val="clear" w:color="auto" w:fill="auto"/>
                  <w:noWrap w:val="0"/>
                  <w:vAlign w:val="center"/>
                </w:tcPr>
                <w:p w14:paraId="107284D5">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可燃</w:t>
                  </w:r>
                </w:p>
              </w:tc>
              <w:tc>
                <w:tcPr>
                  <w:tcW w:w="1003" w:type="pct"/>
                  <w:tcBorders>
                    <w:tl2br w:val="nil"/>
                    <w:tr2bl w:val="nil"/>
                  </w:tcBorders>
                  <w:noWrap w:val="0"/>
                  <w:vAlign w:val="center"/>
                </w:tcPr>
                <w:p w14:paraId="0E76C018">
                  <w:pPr>
                    <w:keepNext w:val="0"/>
                    <w:keepLines w:val="0"/>
                    <w:pageBreakBefore w:val="0"/>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泄漏；火灾引发伴生/次生污染物排放</w:t>
                  </w:r>
                </w:p>
              </w:tc>
            </w:tr>
            <w:tr w14:paraId="06A588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70" w:type="pct"/>
                  <w:vMerge w:val="restart"/>
                  <w:tcBorders>
                    <w:tl2br w:val="nil"/>
                    <w:tr2bl w:val="nil"/>
                  </w:tcBorders>
                  <w:noWrap w:val="0"/>
                  <w:vAlign w:val="center"/>
                </w:tcPr>
                <w:p w14:paraId="36021E8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573" w:type="pct"/>
                  <w:vMerge w:val="restart"/>
                  <w:tcBorders>
                    <w:tl2br w:val="nil"/>
                    <w:tr2bl w:val="nil"/>
                  </w:tcBorders>
                  <w:noWrap w:val="0"/>
                  <w:vAlign w:val="center"/>
                </w:tcPr>
                <w:p w14:paraId="061CA466">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危险废物</w:t>
                  </w:r>
                </w:p>
              </w:tc>
              <w:tc>
                <w:tcPr>
                  <w:tcW w:w="326" w:type="pct"/>
                  <w:vMerge w:val="restart"/>
                  <w:tcBorders>
                    <w:tl2br w:val="nil"/>
                    <w:tr2bl w:val="nil"/>
                  </w:tcBorders>
                  <w:noWrap w:val="0"/>
                  <w:vAlign w:val="center"/>
                </w:tcPr>
                <w:p w14:paraId="174E2BE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液态、固态</w:t>
                  </w:r>
                </w:p>
              </w:tc>
              <w:tc>
                <w:tcPr>
                  <w:tcW w:w="495" w:type="pct"/>
                  <w:vMerge w:val="restart"/>
                  <w:tcBorders>
                    <w:tl2br w:val="nil"/>
                    <w:tr2bl w:val="nil"/>
                  </w:tcBorders>
                  <w:noWrap w:val="0"/>
                  <w:vAlign w:val="center"/>
                </w:tcPr>
                <w:p w14:paraId="5355DF75">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32" w:type="pct"/>
                  <w:vMerge w:val="restart"/>
                  <w:tcBorders>
                    <w:tl2br w:val="nil"/>
                    <w:tr2bl w:val="nil"/>
                  </w:tcBorders>
                  <w:noWrap w:val="0"/>
                  <w:vAlign w:val="center"/>
                </w:tcPr>
                <w:p w14:paraId="426DC6A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06" w:type="pct"/>
                  <w:vMerge w:val="restart"/>
                  <w:tcBorders>
                    <w:tl2br w:val="nil"/>
                    <w:tr2bl w:val="nil"/>
                  </w:tcBorders>
                  <w:noWrap w:val="0"/>
                  <w:vAlign w:val="center"/>
                </w:tcPr>
                <w:p w14:paraId="713CD69D">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90" w:type="pct"/>
                  <w:vMerge w:val="restart"/>
                  <w:tcBorders>
                    <w:tl2br w:val="nil"/>
                    <w:tr2bl w:val="nil"/>
                  </w:tcBorders>
                  <w:noWrap w:val="0"/>
                  <w:vAlign w:val="center"/>
                </w:tcPr>
                <w:p w14:paraId="3BCDB112">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3" w:type="pct"/>
                  <w:vMerge w:val="restart"/>
                  <w:tcBorders>
                    <w:tl2br w:val="nil"/>
                    <w:tr2bl w:val="nil"/>
                  </w:tcBorders>
                  <w:noWrap w:val="0"/>
                  <w:vAlign w:val="center"/>
                </w:tcPr>
                <w:p w14:paraId="28117F6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泄漏；火灾引发伴生/次生污染物排放</w:t>
                  </w:r>
                </w:p>
              </w:tc>
            </w:tr>
            <w:tr w14:paraId="32B54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70" w:type="pct"/>
                  <w:vMerge w:val="continue"/>
                  <w:tcBorders>
                    <w:tl2br w:val="nil"/>
                    <w:tr2bl w:val="nil"/>
                  </w:tcBorders>
                  <w:noWrap w:val="0"/>
                  <w:vAlign w:val="center"/>
                </w:tcPr>
                <w:p w14:paraId="06F44D5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73" w:type="pct"/>
                  <w:vMerge w:val="continue"/>
                  <w:tcBorders>
                    <w:tl2br w:val="nil"/>
                    <w:tr2bl w:val="nil"/>
                  </w:tcBorders>
                  <w:noWrap w:val="0"/>
                  <w:vAlign w:val="center"/>
                </w:tcPr>
                <w:p w14:paraId="378EA417">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危险废物</w:t>
                  </w:r>
                </w:p>
              </w:tc>
              <w:tc>
                <w:tcPr>
                  <w:tcW w:w="326" w:type="pct"/>
                  <w:vMerge w:val="continue"/>
                  <w:tcBorders>
                    <w:tl2br w:val="nil"/>
                    <w:tr2bl w:val="nil"/>
                  </w:tcBorders>
                  <w:noWrap w:val="0"/>
                  <w:vAlign w:val="center"/>
                </w:tcPr>
                <w:p w14:paraId="02B538D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液态、固态</w:t>
                  </w:r>
                </w:p>
              </w:tc>
              <w:tc>
                <w:tcPr>
                  <w:tcW w:w="495" w:type="pct"/>
                  <w:vMerge w:val="continue"/>
                  <w:tcBorders>
                    <w:tl2br w:val="nil"/>
                    <w:tr2bl w:val="nil"/>
                  </w:tcBorders>
                  <w:noWrap w:val="0"/>
                  <w:vAlign w:val="center"/>
                </w:tcPr>
                <w:p w14:paraId="538E302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32" w:type="pct"/>
                  <w:vMerge w:val="continue"/>
                  <w:tcBorders>
                    <w:tl2br w:val="nil"/>
                    <w:tr2bl w:val="nil"/>
                  </w:tcBorders>
                  <w:noWrap w:val="0"/>
                  <w:vAlign w:val="center"/>
                </w:tcPr>
                <w:p w14:paraId="0CE0CC83">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06" w:type="pct"/>
                  <w:vMerge w:val="continue"/>
                  <w:tcBorders>
                    <w:tl2br w:val="nil"/>
                    <w:tr2bl w:val="nil"/>
                  </w:tcBorders>
                  <w:noWrap w:val="0"/>
                  <w:vAlign w:val="center"/>
                </w:tcPr>
                <w:p w14:paraId="4BE73F7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90" w:type="pct"/>
                  <w:vMerge w:val="continue"/>
                  <w:tcBorders>
                    <w:tl2br w:val="nil"/>
                    <w:tr2bl w:val="nil"/>
                  </w:tcBorders>
                  <w:noWrap w:val="0"/>
                  <w:vAlign w:val="center"/>
                </w:tcPr>
                <w:p w14:paraId="23F4538D">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3" w:type="pct"/>
                  <w:vMerge w:val="continue"/>
                  <w:tcBorders>
                    <w:tl2br w:val="nil"/>
                    <w:tr2bl w:val="nil"/>
                  </w:tcBorders>
                  <w:noWrap w:val="0"/>
                  <w:vAlign w:val="center"/>
                </w:tcPr>
                <w:p w14:paraId="386B173B">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泄漏；火灾引发伴生/次生污染物排放</w:t>
                  </w:r>
                </w:p>
              </w:tc>
            </w:tr>
            <w:tr w14:paraId="3B4D3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370" w:type="pct"/>
                  <w:vMerge w:val="restart"/>
                  <w:tcBorders>
                    <w:tl2br w:val="nil"/>
                    <w:tr2bl w:val="nil"/>
                  </w:tcBorders>
                  <w:noWrap w:val="0"/>
                  <w:vAlign w:val="center"/>
                </w:tcPr>
                <w:p w14:paraId="5DE7FFAB">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火灾爆炸次生物</w:t>
                  </w:r>
                </w:p>
              </w:tc>
              <w:tc>
                <w:tcPr>
                  <w:tcW w:w="573" w:type="pct"/>
                  <w:tcBorders>
                    <w:tl2br w:val="nil"/>
                    <w:tr2bl w:val="nil"/>
                  </w:tcBorders>
                  <w:noWrap w:val="0"/>
                  <w:vAlign w:val="center"/>
                </w:tcPr>
                <w:p w14:paraId="47A7AA1D">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CO</w:t>
                  </w:r>
                </w:p>
              </w:tc>
              <w:tc>
                <w:tcPr>
                  <w:tcW w:w="326" w:type="pct"/>
                  <w:tcBorders>
                    <w:tl2br w:val="nil"/>
                    <w:tr2bl w:val="nil"/>
                  </w:tcBorders>
                  <w:noWrap w:val="0"/>
                  <w:vAlign w:val="center"/>
                </w:tcPr>
                <w:p w14:paraId="330B288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气态</w:t>
                  </w:r>
                </w:p>
              </w:tc>
              <w:tc>
                <w:tcPr>
                  <w:tcW w:w="495" w:type="pct"/>
                  <w:tcBorders>
                    <w:tl2br w:val="nil"/>
                    <w:tr2bl w:val="nil"/>
                  </w:tcBorders>
                  <w:noWrap w:val="0"/>
                  <w:vAlign w:val="center"/>
                </w:tcPr>
                <w:p w14:paraId="59299A4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32" w:type="pct"/>
                  <w:tcBorders>
                    <w:tl2br w:val="nil"/>
                    <w:tr2bl w:val="nil"/>
                  </w:tcBorders>
                  <w:noWrap w:val="0"/>
                  <w:vAlign w:val="center"/>
                </w:tcPr>
                <w:p w14:paraId="5A0F3F05">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-205</w:t>
                  </w:r>
                </w:p>
              </w:tc>
              <w:tc>
                <w:tcPr>
                  <w:tcW w:w="806" w:type="pct"/>
                  <w:tcBorders>
                    <w:tl2br w:val="nil"/>
                    <w:tr2bl w:val="nil"/>
                  </w:tcBorders>
                  <w:noWrap w:val="0"/>
                  <w:vAlign w:val="center"/>
                </w:tcPr>
                <w:p w14:paraId="7AF54A43">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90" w:type="pct"/>
                  <w:tcBorders>
                    <w:tl2br w:val="nil"/>
                    <w:tr2bl w:val="nil"/>
                  </w:tcBorders>
                  <w:noWrap w:val="0"/>
                  <w:vAlign w:val="center"/>
                </w:tcPr>
                <w:p w14:paraId="1BD95D12">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3" w:type="pct"/>
                  <w:vMerge w:val="restart"/>
                  <w:tcBorders>
                    <w:tl2br w:val="nil"/>
                    <w:tr2bl w:val="nil"/>
                  </w:tcBorders>
                  <w:noWrap w:val="0"/>
                  <w:vAlign w:val="center"/>
                </w:tcPr>
                <w:p w14:paraId="62D9C72A">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伴生污染物排放</w:t>
                  </w:r>
                </w:p>
              </w:tc>
            </w:tr>
            <w:tr w14:paraId="51D14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370" w:type="pct"/>
                  <w:vMerge w:val="continue"/>
                  <w:tcBorders>
                    <w:tl2br w:val="nil"/>
                    <w:tr2bl w:val="nil"/>
                  </w:tcBorders>
                  <w:noWrap w:val="0"/>
                  <w:vAlign w:val="center"/>
                </w:tcPr>
                <w:p w14:paraId="171F50D5">
                  <w:pPr>
                    <w:keepNext w:val="0"/>
                    <w:keepLines w:val="0"/>
                    <w:pageBreakBefore w:val="0"/>
                    <w:kinsoku/>
                    <w:wordWrap/>
                    <w:overflowPunct/>
                    <w:topLinePunct w:val="0"/>
                    <w:autoSpaceDE/>
                    <w:autoSpaceDN/>
                    <w:bidi w:val="0"/>
                    <w:adjustRightInd/>
                    <w:snapToGrid w:val="0"/>
                    <w:spacing w:line="240" w:lineRule="auto"/>
                    <w:ind w:firstLine="0" w:firstLineChars="0"/>
                    <w:jc w:val="center"/>
                    <w:rPr>
                      <w:color w:val="auto"/>
                    </w:rPr>
                  </w:pPr>
                </w:p>
              </w:tc>
              <w:tc>
                <w:tcPr>
                  <w:tcW w:w="573" w:type="pct"/>
                  <w:tcBorders>
                    <w:tl2br w:val="nil"/>
                    <w:tr2bl w:val="nil"/>
                  </w:tcBorders>
                  <w:noWrap w:val="0"/>
                  <w:vAlign w:val="center"/>
                </w:tcPr>
                <w:p w14:paraId="2CAE778A">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氯化氢</w:t>
                  </w:r>
                </w:p>
              </w:tc>
              <w:tc>
                <w:tcPr>
                  <w:tcW w:w="326" w:type="pct"/>
                  <w:tcBorders>
                    <w:tl2br w:val="nil"/>
                    <w:tr2bl w:val="nil"/>
                  </w:tcBorders>
                  <w:noWrap w:val="0"/>
                  <w:vAlign w:val="center"/>
                </w:tcPr>
                <w:p w14:paraId="2B71635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气态</w:t>
                  </w:r>
                </w:p>
              </w:tc>
              <w:tc>
                <w:tcPr>
                  <w:tcW w:w="495" w:type="pct"/>
                  <w:tcBorders>
                    <w:tl2br w:val="nil"/>
                    <w:tr2bl w:val="nil"/>
                  </w:tcBorders>
                  <w:noWrap w:val="0"/>
                  <w:vAlign w:val="center"/>
                </w:tcPr>
                <w:p w14:paraId="7A20C7A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32" w:type="pct"/>
                  <w:tcBorders>
                    <w:tl2br w:val="nil"/>
                    <w:tr2bl w:val="nil"/>
                  </w:tcBorders>
                  <w:noWrap w:val="0"/>
                  <w:vAlign w:val="center"/>
                </w:tcPr>
                <w:p w14:paraId="64A2DD26">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114.2</w:t>
                  </w:r>
                </w:p>
              </w:tc>
              <w:tc>
                <w:tcPr>
                  <w:tcW w:w="806" w:type="pct"/>
                  <w:tcBorders>
                    <w:tl2br w:val="nil"/>
                    <w:tr2bl w:val="nil"/>
                  </w:tcBorders>
                  <w:noWrap w:val="0"/>
                  <w:vAlign w:val="center"/>
                </w:tcPr>
                <w:p w14:paraId="777AF54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90" w:type="pct"/>
                  <w:tcBorders>
                    <w:tl2br w:val="nil"/>
                    <w:tr2bl w:val="nil"/>
                  </w:tcBorders>
                  <w:noWrap w:val="0"/>
                  <w:vAlign w:val="center"/>
                </w:tcPr>
                <w:p w14:paraId="3A955F8F">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003" w:type="pct"/>
                  <w:vMerge w:val="continue"/>
                  <w:tcBorders>
                    <w:tl2br w:val="nil"/>
                    <w:tr2bl w:val="nil"/>
                  </w:tcBorders>
                  <w:noWrap w:val="0"/>
                  <w:vAlign w:val="center"/>
                </w:tcPr>
                <w:p w14:paraId="733F59CA">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r>
            <w:tr w14:paraId="6C7E0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370" w:type="pct"/>
                  <w:vMerge w:val="continue"/>
                  <w:tcBorders>
                    <w:tl2br w:val="nil"/>
                    <w:tr2bl w:val="nil"/>
                  </w:tcBorders>
                  <w:noWrap w:val="0"/>
                  <w:vAlign w:val="center"/>
                </w:tcPr>
                <w:p w14:paraId="5F41F30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73" w:type="pct"/>
                  <w:tcBorders>
                    <w:tl2br w:val="nil"/>
                    <w:tr2bl w:val="nil"/>
                  </w:tcBorders>
                  <w:noWrap w:val="0"/>
                  <w:vAlign w:val="center"/>
                </w:tcPr>
                <w:p w14:paraId="7E6F6CC7">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氯乙烯</w:t>
                  </w:r>
                </w:p>
              </w:tc>
              <w:tc>
                <w:tcPr>
                  <w:tcW w:w="326" w:type="pct"/>
                  <w:tcBorders>
                    <w:tl2br w:val="nil"/>
                    <w:tr2bl w:val="nil"/>
                  </w:tcBorders>
                  <w:noWrap w:val="0"/>
                  <w:vAlign w:val="center"/>
                </w:tcPr>
                <w:p w14:paraId="08E7EAB5">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气态</w:t>
                  </w:r>
                </w:p>
              </w:tc>
              <w:tc>
                <w:tcPr>
                  <w:tcW w:w="495" w:type="pct"/>
                  <w:tcBorders>
                    <w:tl2br w:val="nil"/>
                    <w:tr2bl w:val="nil"/>
                  </w:tcBorders>
                  <w:noWrap w:val="0"/>
                  <w:vAlign w:val="center"/>
                </w:tcPr>
                <w:p w14:paraId="23A8C5A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32" w:type="pct"/>
                  <w:tcBorders>
                    <w:tl2br w:val="nil"/>
                    <w:tr2bl w:val="nil"/>
                  </w:tcBorders>
                  <w:noWrap w:val="0"/>
                  <w:vAlign w:val="center"/>
                </w:tcPr>
                <w:p w14:paraId="045A0F62">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153.84</w:t>
                  </w:r>
                </w:p>
              </w:tc>
              <w:tc>
                <w:tcPr>
                  <w:tcW w:w="806" w:type="pct"/>
                  <w:tcBorders>
                    <w:tl2br w:val="nil"/>
                    <w:tr2bl w:val="nil"/>
                  </w:tcBorders>
                  <w:noWrap w:val="0"/>
                  <w:vAlign w:val="center"/>
                </w:tcPr>
                <w:p w14:paraId="4A931C69">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90" w:type="pct"/>
                  <w:tcBorders>
                    <w:tl2br w:val="nil"/>
                    <w:tr2bl w:val="nil"/>
                  </w:tcBorders>
                  <w:noWrap w:val="0"/>
                  <w:vAlign w:val="center"/>
                </w:tcPr>
                <w:p w14:paraId="15A88E3D">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w:t>
                  </w:r>
                </w:p>
              </w:tc>
              <w:tc>
                <w:tcPr>
                  <w:tcW w:w="1003" w:type="pct"/>
                  <w:vMerge w:val="continue"/>
                  <w:tcBorders>
                    <w:tl2br w:val="nil"/>
                    <w:tr2bl w:val="nil"/>
                  </w:tcBorders>
                  <w:noWrap w:val="0"/>
                  <w:vAlign w:val="center"/>
                </w:tcPr>
                <w:p w14:paraId="6AAA7EB4">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r>
            <w:tr w14:paraId="799DE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370" w:type="pct"/>
                  <w:vMerge w:val="continue"/>
                  <w:tcBorders>
                    <w:tl2br w:val="nil"/>
                    <w:tr2bl w:val="nil"/>
                  </w:tcBorders>
                  <w:noWrap w:val="0"/>
                  <w:vAlign w:val="center"/>
                </w:tcPr>
                <w:p w14:paraId="777D7E52">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c>
                <w:tcPr>
                  <w:tcW w:w="573" w:type="pct"/>
                  <w:tcBorders>
                    <w:tl2br w:val="nil"/>
                    <w:tr2bl w:val="nil"/>
                  </w:tcBorders>
                  <w:noWrap w:val="0"/>
                  <w:vAlign w:val="center"/>
                </w:tcPr>
                <w:p w14:paraId="48D43EB0">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二噁英</w:t>
                  </w:r>
                </w:p>
              </w:tc>
              <w:tc>
                <w:tcPr>
                  <w:tcW w:w="326" w:type="pct"/>
                  <w:tcBorders>
                    <w:tl2br w:val="nil"/>
                    <w:tr2bl w:val="nil"/>
                  </w:tcBorders>
                  <w:noWrap w:val="0"/>
                  <w:vAlign w:val="center"/>
                </w:tcPr>
                <w:p w14:paraId="047C3FB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气态</w:t>
                  </w:r>
                </w:p>
              </w:tc>
              <w:tc>
                <w:tcPr>
                  <w:tcW w:w="495" w:type="pct"/>
                  <w:tcBorders>
                    <w:tl2br w:val="nil"/>
                    <w:tr2bl w:val="nil"/>
                  </w:tcBorders>
                  <w:noWrap w:val="0"/>
                  <w:vAlign w:val="center"/>
                </w:tcPr>
                <w:p w14:paraId="6B4E55FC">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532" w:type="pct"/>
                  <w:tcBorders>
                    <w:tl2br w:val="nil"/>
                    <w:tr2bl w:val="nil"/>
                  </w:tcBorders>
                  <w:noWrap w:val="0"/>
                  <w:vAlign w:val="center"/>
                </w:tcPr>
                <w:p w14:paraId="1A711A4B">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305</w:t>
                  </w:r>
                </w:p>
              </w:tc>
              <w:tc>
                <w:tcPr>
                  <w:tcW w:w="806" w:type="pct"/>
                  <w:tcBorders>
                    <w:tl2br w:val="nil"/>
                    <w:tr2bl w:val="nil"/>
                  </w:tcBorders>
                  <w:noWrap w:val="0"/>
                  <w:vAlign w:val="center"/>
                </w:tcPr>
                <w:p w14:paraId="21D269AF">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color w:val="auto"/>
                    </w:rPr>
                    <w:t>LD50：201微克/公斤（口服，大鼠）</w:t>
                  </w:r>
                  <w:r>
                    <w:rPr>
                      <w:rFonts w:hint="eastAsia"/>
                      <w:color w:val="auto"/>
                      <w:lang w:eastAsia="zh-CN"/>
                    </w:rPr>
                    <w:t>，</w:t>
                  </w:r>
                  <w:r>
                    <w:rPr>
                      <w:rFonts w:hint="default"/>
                      <w:color w:val="auto"/>
                    </w:rPr>
                    <w:t xml:space="preserve"> LD50：120微克/千克（腹膜内，小鼠）</w:t>
                  </w:r>
                </w:p>
              </w:tc>
              <w:tc>
                <w:tcPr>
                  <w:tcW w:w="890" w:type="pct"/>
                  <w:tcBorders>
                    <w:tl2br w:val="nil"/>
                    <w:tr2bl w:val="nil"/>
                  </w:tcBorders>
                  <w:noWrap w:val="0"/>
                  <w:vAlign w:val="center"/>
                </w:tcPr>
                <w:p w14:paraId="3E4E8361">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03" w:type="pct"/>
                  <w:vMerge w:val="continue"/>
                  <w:tcBorders>
                    <w:tl2br w:val="nil"/>
                    <w:tr2bl w:val="nil"/>
                  </w:tcBorders>
                  <w:noWrap w:val="0"/>
                  <w:vAlign w:val="center"/>
                </w:tcPr>
                <w:p w14:paraId="69F7BED8">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rPr>
                  </w:pPr>
                </w:p>
              </w:tc>
            </w:tr>
          </w:tbl>
          <w:p w14:paraId="0498239D">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对照《建设项目环境风险评价技术导则（HJ169-2018）》附录B内容，本项目涉及的危险物质见下表。</w:t>
            </w:r>
          </w:p>
          <w:p w14:paraId="4D4A698D">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项目Q值确定表</w:t>
            </w:r>
          </w:p>
          <w:tbl>
            <w:tblPr>
              <w:tblStyle w:val="44"/>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3454"/>
              <w:gridCol w:w="2131"/>
              <w:gridCol w:w="1546"/>
              <w:gridCol w:w="1743"/>
            </w:tblGrid>
            <w:tr w14:paraId="70F03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0" w:type="pct"/>
                  <w:noWrap w:val="0"/>
                  <w:vAlign w:val="center"/>
                </w:tcPr>
                <w:p w14:paraId="1BE821F6">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806" w:type="pct"/>
                  <w:noWrap w:val="0"/>
                  <w:vAlign w:val="center"/>
                </w:tcPr>
                <w:p w14:paraId="494A7572">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危险品名称</w:t>
                  </w:r>
                </w:p>
              </w:tc>
              <w:tc>
                <w:tcPr>
                  <w:tcW w:w="1114" w:type="pct"/>
                  <w:noWrap w:val="0"/>
                  <w:vAlign w:val="center"/>
                </w:tcPr>
                <w:p w14:paraId="3ED73E76">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最大存在总量qn/t</w:t>
                  </w:r>
                </w:p>
              </w:tc>
              <w:tc>
                <w:tcPr>
                  <w:tcW w:w="807" w:type="pct"/>
                  <w:noWrap w:val="0"/>
                  <w:vAlign w:val="center"/>
                </w:tcPr>
                <w:p w14:paraId="13F20AA5">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临界量Qn/t</w:t>
                  </w:r>
                </w:p>
              </w:tc>
              <w:tc>
                <w:tcPr>
                  <w:tcW w:w="911" w:type="pct"/>
                  <w:noWrap w:val="0"/>
                  <w:vAlign w:val="center"/>
                </w:tcPr>
                <w:p w14:paraId="137E02CF">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危险物质Q值</w:t>
                  </w:r>
                </w:p>
              </w:tc>
            </w:tr>
            <w:tr w14:paraId="3EE9A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360" w:type="pct"/>
                  <w:noWrap w:val="0"/>
                  <w:vAlign w:val="center"/>
                </w:tcPr>
                <w:p w14:paraId="62616FF3">
                  <w:pPr>
                    <w:snapToGrid w:val="0"/>
                    <w:spacing w:line="240" w:lineRule="auto"/>
                    <w:ind w:firstLine="0" w:firstLineChars="0"/>
                    <w:jc w:val="center"/>
                    <w:rPr>
                      <w:rFonts w:hint="default" w:ascii="Times New Roman" w:hAnsi="Times New Roman" w:eastAsia="宋体" w:cs="Times New Roman"/>
                      <w:color w:val="auto"/>
                      <w:sz w:val="21"/>
                      <w:szCs w:val="21"/>
                    </w:rPr>
                  </w:pPr>
                  <w:bookmarkStart w:id="14" w:name="OLE_LINK4" w:colFirst="5" w:colLast="5"/>
                  <w:r>
                    <w:rPr>
                      <w:rFonts w:hint="default" w:ascii="Times New Roman" w:hAnsi="Times New Roman" w:eastAsia="宋体" w:cs="Times New Roman"/>
                      <w:color w:val="auto"/>
                      <w:sz w:val="21"/>
                      <w:szCs w:val="21"/>
                    </w:rPr>
                    <w:t>1</w:t>
                  </w:r>
                </w:p>
              </w:tc>
              <w:tc>
                <w:tcPr>
                  <w:tcW w:w="1806" w:type="pct"/>
                  <w:shd w:val="clear" w:color="auto" w:fill="auto"/>
                  <w:noWrap w:val="0"/>
                  <w:vAlign w:val="center"/>
                </w:tcPr>
                <w:p w14:paraId="5BE6B77B">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0"/>
                      <w:szCs w:val="20"/>
                      <w:u w:val="none"/>
                      <w:lang w:val="en-US" w:eastAsia="zh-CN" w:bidi="ar"/>
                    </w:rPr>
                    <w:t>ESO</w:t>
                  </w:r>
                </w:p>
              </w:tc>
              <w:tc>
                <w:tcPr>
                  <w:tcW w:w="1114" w:type="pct"/>
                  <w:shd w:val="clear" w:color="auto" w:fill="auto"/>
                  <w:noWrap w:val="0"/>
                  <w:vAlign w:val="center"/>
                </w:tcPr>
                <w:p w14:paraId="7331052B">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807" w:type="pct"/>
                  <w:shd w:val="clear" w:color="auto" w:fill="auto"/>
                  <w:noWrap w:val="0"/>
                  <w:vAlign w:val="center"/>
                </w:tcPr>
                <w:p w14:paraId="087664F5">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2500</w:t>
                  </w:r>
                </w:p>
              </w:tc>
              <w:tc>
                <w:tcPr>
                  <w:tcW w:w="1743" w:type="dxa"/>
                  <w:shd w:val="clear" w:color="auto" w:fill="auto"/>
                  <w:noWrap w:val="0"/>
                  <w:vAlign w:val="center"/>
                </w:tcPr>
                <w:p w14:paraId="2A1D94D1">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w:t>
                  </w:r>
                  <w:r>
                    <w:rPr>
                      <w:rFonts w:hint="eastAsia" w:cs="Times New Roman"/>
                      <w:i w:val="0"/>
                      <w:iCs w:val="0"/>
                      <w:color w:val="auto"/>
                      <w:kern w:val="0"/>
                      <w:sz w:val="21"/>
                      <w:szCs w:val="21"/>
                      <w:u w:val="none"/>
                      <w:lang w:val="en-US" w:eastAsia="zh-CN" w:bidi="ar"/>
                    </w:rPr>
                    <w:t>2</w:t>
                  </w:r>
                </w:p>
              </w:tc>
            </w:tr>
            <w:tr w14:paraId="7F1CD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60" w:type="pct"/>
                  <w:noWrap w:val="0"/>
                  <w:vAlign w:val="center"/>
                </w:tcPr>
                <w:p w14:paraId="37C7F492">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806" w:type="pct"/>
                  <w:shd w:val="clear" w:color="auto" w:fill="auto"/>
                  <w:noWrap w:val="0"/>
                  <w:vAlign w:val="center"/>
                </w:tcPr>
                <w:p w14:paraId="2A49E505">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齿轮油</w:t>
                  </w:r>
                </w:p>
              </w:tc>
              <w:tc>
                <w:tcPr>
                  <w:tcW w:w="1114" w:type="pct"/>
                  <w:shd w:val="clear" w:color="auto" w:fill="auto"/>
                  <w:noWrap w:val="0"/>
                  <w:vAlign w:val="center"/>
                </w:tcPr>
                <w:p w14:paraId="3D8B43D2">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0.2</w:t>
                  </w:r>
                </w:p>
              </w:tc>
              <w:tc>
                <w:tcPr>
                  <w:tcW w:w="807" w:type="pct"/>
                  <w:shd w:val="clear" w:color="auto" w:fill="auto"/>
                  <w:noWrap w:val="0"/>
                  <w:vAlign w:val="center"/>
                </w:tcPr>
                <w:p w14:paraId="17FC9E11">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2500</w:t>
                  </w:r>
                </w:p>
              </w:tc>
              <w:tc>
                <w:tcPr>
                  <w:tcW w:w="1743" w:type="dxa"/>
                  <w:shd w:val="clear" w:color="auto" w:fill="auto"/>
                  <w:noWrap w:val="0"/>
                  <w:vAlign w:val="center"/>
                </w:tcPr>
                <w:p w14:paraId="15B07C25">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0.00008</w:t>
                  </w:r>
                </w:p>
              </w:tc>
            </w:tr>
            <w:tr w14:paraId="723A9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60" w:type="pct"/>
                  <w:noWrap w:val="0"/>
                  <w:vAlign w:val="center"/>
                </w:tcPr>
                <w:p w14:paraId="2A6DBE61">
                  <w:pPr>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1806" w:type="pct"/>
                  <w:shd w:val="clear" w:color="auto" w:fill="auto"/>
                  <w:noWrap w:val="0"/>
                  <w:vAlign w:val="center"/>
                </w:tcPr>
                <w:p w14:paraId="62A48570">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氯乙烯</w:t>
                  </w:r>
                </w:p>
              </w:tc>
              <w:tc>
                <w:tcPr>
                  <w:tcW w:w="1114" w:type="pct"/>
                  <w:shd w:val="clear" w:color="auto" w:fill="auto"/>
                  <w:noWrap w:val="0"/>
                  <w:vAlign w:val="center"/>
                </w:tcPr>
                <w:p w14:paraId="73508C39">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0.0001</w:t>
                  </w:r>
                </w:p>
              </w:tc>
              <w:tc>
                <w:tcPr>
                  <w:tcW w:w="807" w:type="pct"/>
                  <w:shd w:val="clear" w:color="auto" w:fill="auto"/>
                  <w:noWrap w:val="0"/>
                  <w:vAlign w:val="center"/>
                </w:tcPr>
                <w:p w14:paraId="43450331">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1743" w:type="dxa"/>
                  <w:shd w:val="clear" w:color="auto" w:fill="auto"/>
                  <w:noWrap w:val="0"/>
                  <w:vAlign w:val="center"/>
                </w:tcPr>
                <w:p w14:paraId="4AA0A70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w:t>
                  </w:r>
                  <w:r>
                    <w:rPr>
                      <w:rFonts w:hint="eastAsia" w:cs="Times New Roman"/>
                      <w:i w:val="0"/>
                      <w:iCs w:val="0"/>
                      <w:color w:val="auto"/>
                      <w:kern w:val="0"/>
                      <w:sz w:val="21"/>
                      <w:szCs w:val="21"/>
                      <w:u w:val="none"/>
                      <w:lang w:val="en-US" w:eastAsia="zh-CN" w:bidi="ar"/>
                    </w:rPr>
                    <w:t>0004</w:t>
                  </w:r>
                </w:p>
              </w:tc>
            </w:tr>
            <w:tr w14:paraId="7A224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60" w:type="pct"/>
                  <w:noWrap w:val="0"/>
                  <w:vAlign w:val="center"/>
                </w:tcPr>
                <w:p w14:paraId="335136AE">
                  <w:pPr>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1806" w:type="pct"/>
                  <w:shd w:val="clear" w:color="auto" w:fill="auto"/>
                  <w:noWrap w:val="0"/>
                  <w:vAlign w:val="center"/>
                </w:tcPr>
                <w:p w14:paraId="7FFB57AB">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氯化氢</w:t>
                  </w:r>
                </w:p>
              </w:tc>
              <w:tc>
                <w:tcPr>
                  <w:tcW w:w="1114" w:type="pct"/>
                  <w:shd w:val="clear" w:color="auto" w:fill="auto"/>
                  <w:noWrap w:val="0"/>
                  <w:vAlign w:val="center"/>
                </w:tcPr>
                <w:p w14:paraId="6104E5C7">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0.0001</w:t>
                  </w:r>
                </w:p>
              </w:tc>
              <w:tc>
                <w:tcPr>
                  <w:tcW w:w="807" w:type="pct"/>
                  <w:shd w:val="clear" w:color="auto" w:fill="auto"/>
                  <w:noWrap w:val="0"/>
                  <w:vAlign w:val="center"/>
                </w:tcPr>
                <w:p w14:paraId="05131DB1">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2.5</w:t>
                  </w:r>
                </w:p>
              </w:tc>
              <w:tc>
                <w:tcPr>
                  <w:tcW w:w="1743" w:type="dxa"/>
                  <w:shd w:val="clear" w:color="auto" w:fill="auto"/>
                  <w:noWrap w:val="0"/>
                  <w:vAlign w:val="center"/>
                </w:tcPr>
                <w:p w14:paraId="1606026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w:t>
                  </w:r>
                  <w:r>
                    <w:rPr>
                      <w:rFonts w:hint="eastAsia" w:cs="Times New Roman"/>
                      <w:i w:val="0"/>
                      <w:iCs w:val="0"/>
                      <w:color w:val="auto"/>
                      <w:kern w:val="0"/>
                      <w:sz w:val="21"/>
                      <w:szCs w:val="21"/>
                      <w:u w:val="none"/>
                      <w:lang w:val="en-US" w:eastAsia="zh-CN" w:bidi="ar"/>
                    </w:rPr>
                    <w:t>0004</w:t>
                  </w:r>
                </w:p>
              </w:tc>
            </w:tr>
            <w:tr w14:paraId="60D61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60" w:type="pct"/>
                  <w:noWrap w:val="0"/>
                  <w:vAlign w:val="center"/>
                </w:tcPr>
                <w:p w14:paraId="1F983C0E">
                  <w:pPr>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w:t>
                  </w:r>
                </w:p>
              </w:tc>
              <w:tc>
                <w:tcPr>
                  <w:tcW w:w="1806" w:type="pct"/>
                  <w:shd w:val="clear" w:color="auto" w:fill="auto"/>
                  <w:noWrap w:val="0"/>
                  <w:vAlign w:val="center"/>
                </w:tcPr>
                <w:p w14:paraId="5DDE6B38">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危险废物</w:t>
                  </w:r>
                </w:p>
              </w:tc>
              <w:tc>
                <w:tcPr>
                  <w:tcW w:w="1114" w:type="pct"/>
                  <w:shd w:val="clear" w:color="auto" w:fill="auto"/>
                  <w:noWrap w:val="0"/>
                  <w:vAlign w:val="center"/>
                </w:tcPr>
                <w:p w14:paraId="17C0B611">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2.375</w:t>
                  </w:r>
                </w:p>
              </w:tc>
              <w:tc>
                <w:tcPr>
                  <w:tcW w:w="807" w:type="pct"/>
                  <w:shd w:val="clear" w:color="auto" w:fill="auto"/>
                  <w:noWrap w:val="0"/>
                  <w:vAlign w:val="center"/>
                </w:tcPr>
                <w:p w14:paraId="0B8C6710">
                  <w:pPr>
                    <w:pStyle w:val="2"/>
                    <w:keepNext w:val="0"/>
                    <w:keepLines w:val="0"/>
                    <w:pageBreakBefore w:val="0"/>
                    <w:kinsoku/>
                    <w:wordWrap/>
                    <w:overflowPunct/>
                    <w:topLinePunct w:val="0"/>
                    <w:autoSpaceDE/>
                    <w:autoSpaceDN/>
                    <w:bidi w:val="0"/>
                    <w:adjustRightInd/>
                    <w:snapToGrid w:val="0"/>
                    <w:spacing w:after="0"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w:t>
                  </w:r>
                </w:p>
              </w:tc>
              <w:tc>
                <w:tcPr>
                  <w:tcW w:w="1743" w:type="dxa"/>
                  <w:shd w:val="clear" w:color="auto" w:fill="auto"/>
                  <w:noWrap w:val="0"/>
                  <w:vAlign w:val="center"/>
                </w:tcPr>
                <w:p w14:paraId="5C25908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0095</w:t>
                  </w:r>
                </w:p>
              </w:tc>
            </w:tr>
            <w:bookmarkEnd w:id="14"/>
            <w:tr w14:paraId="0D045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88" w:type="pct"/>
                  <w:gridSpan w:val="4"/>
                  <w:noWrap w:val="0"/>
                  <w:vAlign w:val="center"/>
                </w:tcPr>
                <w:p w14:paraId="156D3ABD">
                  <w:pPr>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项目Q值</w:t>
                  </w:r>
                </w:p>
              </w:tc>
              <w:tc>
                <w:tcPr>
                  <w:tcW w:w="1743" w:type="dxa"/>
                  <w:noWrap w:val="0"/>
                  <w:vAlign w:val="center"/>
                </w:tcPr>
                <w:p w14:paraId="6885DB0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color w:val="auto"/>
                      <w:kern w:val="0"/>
                      <w:u w:val="none"/>
                      <w:lang w:bidi="ar"/>
                    </w:rPr>
                    <w:t>0.00223008</w:t>
                  </w:r>
                </w:p>
              </w:tc>
            </w:tr>
          </w:tbl>
          <w:p w14:paraId="35505C8E">
            <w:pPr>
              <w:adjustRightInd w:val="0"/>
              <w:snapToGrid w:val="0"/>
              <w:ind w:firstLine="420"/>
              <w:jc w:val="left"/>
              <w:rPr>
                <w:rFonts w:hint="default" w:ascii="Times New Roman" w:hAnsi="Times New Roman" w:eastAsia="宋体" w:cs="Times New Roman"/>
                <w:bCs/>
                <w:snapToGrid w:val="0"/>
                <w:color w:val="auto"/>
                <w:kern w:val="0"/>
                <w:sz w:val="24"/>
                <w:szCs w:val="24"/>
              </w:rPr>
            </w:pPr>
            <w:r>
              <w:rPr>
                <w:rFonts w:hint="default" w:ascii="Times New Roman" w:hAnsi="Times New Roman" w:eastAsia="宋体" w:cs="Times New Roman"/>
                <w:color w:val="auto"/>
                <w:sz w:val="24"/>
                <w:szCs w:val="24"/>
              </w:rPr>
              <w:t>根据上表计算结果，本项目</w:t>
            </w:r>
            <w:r>
              <w:rPr>
                <w:rFonts w:hint="default" w:ascii="Times New Roman" w:hAnsi="Times New Roman" w:eastAsia="宋体" w:cs="Times New Roman"/>
                <w:bCs/>
                <w:snapToGrid w:val="0"/>
                <w:color w:val="auto"/>
                <w:kern w:val="0"/>
                <w:sz w:val="24"/>
                <w:szCs w:val="24"/>
              </w:rPr>
              <w:t>Q&lt;1</w:t>
            </w:r>
            <w:r>
              <w:rPr>
                <w:rFonts w:hint="default" w:ascii="Times New Roman" w:hAnsi="Times New Roman" w:eastAsia="宋体" w:cs="Times New Roman"/>
                <w:color w:val="auto"/>
                <w:sz w:val="24"/>
                <w:szCs w:val="24"/>
              </w:rPr>
              <w:t>，项目环境风险潜势为I，作简单分析</w:t>
            </w:r>
            <w:r>
              <w:rPr>
                <w:rFonts w:hint="default" w:ascii="Times New Roman" w:hAnsi="Times New Roman" w:eastAsia="宋体" w:cs="Times New Roman"/>
                <w:bCs/>
                <w:snapToGrid w:val="0"/>
                <w:color w:val="auto"/>
                <w:kern w:val="0"/>
                <w:sz w:val="24"/>
                <w:szCs w:val="24"/>
              </w:rPr>
              <w:t>。</w:t>
            </w:r>
          </w:p>
          <w:p w14:paraId="5EAE707E">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7.2风险源分布情况及影响途径</w:t>
            </w:r>
          </w:p>
          <w:p w14:paraId="7D6C4760">
            <w:pPr>
              <w:snapToGrid w:val="0"/>
              <w:ind w:firstLine="42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项目风险单元及事故类型、后果分析结果具体见下表。</w:t>
            </w:r>
          </w:p>
          <w:p w14:paraId="746F451D">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default"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风险单元及事故类型、后果分析表</w:t>
            </w:r>
          </w:p>
          <w:tbl>
            <w:tblPr>
              <w:tblStyle w:val="44"/>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864"/>
              <w:gridCol w:w="1447"/>
              <w:gridCol w:w="1671"/>
              <w:gridCol w:w="2050"/>
              <w:gridCol w:w="1355"/>
            </w:tblGrid>
            <w:tr w14:paraId="52AE8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4" w:type="pct"/>
                  <w:noWrap w:val="0"/>
                  <w:vAlign w:val="center"/>
                </w:tcPr>
                <w:p w14:paraId="608050D2">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风险源</w:t>
                  </w:r>
                </w:p>
              </w:tc>
              <w:tc>
                <w:tcPr>
                  <w:tcW w:w="974" w:type="pct"/>
                  <w:noWrap w:val="0"/>
                  <w:vAlign w:val="center"/>
                </w:tcPr>
                <w:p w14:paraId="04182F0E">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风险物质</w:t>
                  </w:r>
                </w:p>
              </w:tc>
              <w:tc>
                <w:tcPr>
                  <w:tcW w:w="756" w:type="pct"/>
                  <w:noWrap w:val="0"/>
                  <w:vAlign w:val="center"/>
                </w:tcPr>
                <w:p w14:paraId="6254AB79">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风险类型</w:t>
                  </w:r>
                </w:p>
              </w:tc>
              <w:tc>
                <w:tcPr>
                  <w:tcW w:w="873" w:type="pct"/>
                  <w:noWrap w:val="0"/>
                  <w:vAlign w:val="center"/>
                </w:tcPr>
                <w:p w14:paraId="0364B6FD">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触发因素</w:t>
                  </w:r>
                </w:p>
              </w:tc>
              <w:tc>
                <w:tcPr>
                  <w:tcW w:w="1071" w:type="pct"/>
                  <w:noWrap w:val="0"/>
                  <w:vAlign w:val="center"/>
                </w:tcPr>
                <w:p w14:paraId="05AF3CCD">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伴生和次生事故及有害产物</w:t>
                  </w:r>
                </w:p>
              </w:tc>
              <w:tc>
                <w:tcPr>
                  <w:tcW w:w="708" w:type="pct"/>
                  <w:noWrap w:val="0"/>
                  <w:vAlign w:val="center"/>
                </w:tcPr>
                <w:p w14:paraId="6EC5086C">
                  <w:pPr>
                    <w:snapToGrid w:val="0"/>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影响途径</w:t>
                  </w:r>
                </w:p>
              </w:tc>
            </w:tr>
            <w:tr w14:paraId="20632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614" w:type="pct"/>
                  <w:noWrap w:val="0"/>
                  <w:vAlign w:val="center"/>
                </w:tcPr>
                <w:p w14:paraId="529B6C56">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原辅料</w:t>
                  </w:r>
                  <w:r>
                    <w:rPr>
                      <w:rFonts w:hint="default" w:ascii="Times New Roman" w:hAnsi="Times New Roman" w:eastAsia="宋体" w:cs="Times New Roman"/>
                      <w:color w:val="auto"/>
                      <w:sz w:val="21"/>
                      <w:szCs w:val="21"/>
                      <w:highlight w:val="none"/>
                      <w:lang w:val="en-US" w:eastAsia="zh-CN"/>
                    </w:rPr>
                    <w:t>堆场</w:t>
                  </w:r>
                </w:p>
              </w:tc>
              <w:tc>
                <w:tcPr>
                  <w:tcW w:w="974" w:type="pct"/>
                  <w:noWrap w:val="0"/>
                  <w:vAlign w:val="center"/>
                </w:tcPr>
                <w:p w14:paraId="21FAEB21">
                  <w:pPr>
                    <w:pStyle w:val="2"/>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齿轮油、ESO</w:t>
                  </w:r>
                </w:p>
              </w:tc>
              <w:tc>
                <w:tcPr>
                  <w:tcW w:w="756" w:type="pct"/>
                  <w:noWrap w:val="0"/>
                  <w:vAlign w:val="center"/>
                </w:tcPr>
                <w:p w14:paraId="252B1F0E">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泄漏、火灾</w:t>
                  </w:r>
                </w:p>
              </w:tc>
              <w:tc>
                <w:tcPr>
                  <w:tcW w:w="873" w:type="pct"/>
                  <w:noWrap w:val="0"/>
                  <w:vAlign w:val="center"/>
                </w:tcPr>
                <w:p w14:paraId="3D30046B">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容器破损、遇禁忌物或明火</w:t>
                  </w:r>
                </w:p>
              </w:tc>
              <w:tc>
                <w:tcPr>
                  <w:tcW w:w="1071" w:type="pct"/>
                  <w:noWrap w:val="0"/>
                  <w:vAlign w:val="center"/>
                </w:tcPr>
                <w:p w14:paraId="58517017">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有机泄漏物、燃烧废气、消防废水</w:t>
                  </w:r>
                </w:p>
              </w:tc>
              <w:tc>
                <w:tcPr>
                  <w:tcW w:w="708" w:type="pct"/>
                  <w:noWrap w:val="0"/>
                  <w:vAlign w:val="center"/>
                </w:tcPr>
                <w:p w14:paraId="27C85E6D">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大气、土壤、地下水</w:t>
                  </w:r>
                </w:p>
              </w:tc>
            </w:tr>
            <w:tr w14:paraId="3EC75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4" w:type="pct"/>
                  <w:noWrap w:val="0"/>
                  <w:vAlign w:val="center"/>
                </w:tcPr>
                <w:p w14:paraId="3C066F71">
                  <w:pPr>
                    <w:pStyle w:val="2"/>
                    <w:spacing w:after="0"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危废暂存间</w:t>
                  </w:r>
                </w:p>
              </w:tc>
              <w:tc>
                <w:tcPr>
                  <w:tcW w:w="974" w:type="pct"/>
                  <w:noWrap w:val="0"/>
                  <w:vAlign w:val="center"/>
                </w:tcPr>
                <w:p w14:paraId="27973B50">
                  <w:pPr>
                    <w:pStyle w:val="2"/>
                    <w:spacing w:after="0"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冷却废液、</w:t>
                  </w:r>
                  <w:r>
                    <w:rPr>
                      <w:rFonts w:hint="default" w:ascii="Times New Roman" w:hAnsi="Times New Roman" w:eastAsia="宋体" w:cs="Times New Roman"/>
                      <w:bCs/>
                      <w:color w:val="auto"/>
                      <w:sz w:val="21"/>
                      <w:szCs w:val="21"/>
                      <w:lang w:eastAsia="zh-CN"/>
                    </w:rPr>
                    <w:t>废齿轮油、废包装桶、废抹布手套、废活性炭</w:t>
                  </w:r>
                  <w:r>
                    <w:rPr>
                      <w:rFonts w:hint="eastAsia" w:cs="Times New Roman"/>
                      <w:bCs/>
                      <w:color w:val="auto"/>
                      <w:sz w:val="21"/>
                      <w:szCs w:val="21"/>
                      <w:lang w:eastAsia="zh-CN"/>
                    </w:rPr>
                    <w:t>、沾染大豆油的废布袋、油泥</w:t>
                  </w:r>
                </w:p>
              </w:tc>
              <w:tc>
                <w:tcPr>
                  <w:tcW w:w="756" w:type="pct"/>
                  <w:noWrap w:val="0"/>
                  <w:vAlign w:val="center"/>
                </w:tcPr>
                <w:p w14:paraId="51408711">
                  <w:pPr>
                    <w:pStyle w:val="2"/>
                    <w:spacing w:after="0"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泄漏、火灾</w:t>
                  </w:r>
                </w:p>
              </w:tc>
              <w:tc>
                <w:tcPr>
                  <w:tcW w:w="873" w:type="pct"/>
                  <w:noWrap w:val="0"/>
                  <w:vAlign w:val="center"/>
                </w:tcPr>
                <w:p w14:paraId="375DC4AE">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容器破损、遇禁忌物或明火</w:t>
                  </w:r>
                </w:p>
              </w:tc>
              <w:tc>
                <w:tcPr>
                  <w:tcW w:w="1071" w:type="pct"/>
                  <w:noWrap w:val="0"/>
                  <w:vAlign w:val="center"/>
                </w:tcPr>
                <w:p w14:paraId="1193EF16">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有机泄漏物、燃烧废气、消防废水</w:t>
                  </w:r>
                </w:p>
              </w:tc>
              <w:tc>
                <w:tcPr>
                  <w:tcW w:w="708" w:type="pct"/>
                  <w:noWrap w:val="0"/>
                  <w:vAlign w:val="center"/>
                </w:tcPr>
                <w:p w14:paraId="78A11C48">
                  <w:pPr>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大气、土壤、地下水</w:t>
                  </w:r>
                </w:p>
              </w:tc>
            </w:tr>
            <w:tr w14:paraId="435F5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4" w:type="pct"/>
                  <w:noWrap w:val="0"/>
                  <w:vAlign w:val="center"/>
                </w:tcPr>
                <w:p w14:paraId="7504398C">
                  <w:pPr>
                    <w:pStyle w:val="2"/>
                    <w:spacing w:after="0"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生产车间</w:t>
                  </w:r>
                </w:p>
              </w:tc>
              <w:tc>
                <w:tcPr>
                  <w:tcW w:w="974" w:type="pct"/>
                  <w:noWrap w:val="0"/>
                  <w:vAlign w:val="center"/>
                </w:tcPr>
                <w:p w14:paraId="0ED8ED46">
                  <w:pPr>
                    <w:pStyle w:val="2"/>
                    <w:spacing w:after="0"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齿轮油、ESO</w:t>
                  </w:r>
                </w:p>
              </w:tc>
              <w:tc>
                <w:tcPr>
                  <w:tcW w:w="756" w:type="pct"/>
                  <w:noWrap w:val="0"/>
                  <w:vAlign w:val="center"/>
                </w:tcPr>
                <w:p w14:paraId="7CBE9780">
                  <w:pPr>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泄漏、火灾</w:t>
                  </w:r>
                </w:p>
              </w:tc>
              <w:tc>
                <w:tcPr>
                  <w:tcW w:w="873" w:type="pct"/>
                  <w:noWrap w:val="0"/>
                  <w:vAlign w:val="center"/>
                </w:tcPr>
                <w:p w14:paraId="527CE835">
                  <w:pPr>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设备故障，遇禁忌物或明火</w:t>
                  </w:r>
                </w:p>
              </w:tc>
              <w:tc>
                <w:tcPr>
                  <w:tcW w:w="1071" w:type="pct"/>
                  <w:noWrap w:val="0"/>
                  <w:vAlign w:val="center"/>
                </w:tcPr>
                <w:p w14:paraId="574895A0">
                  <w:pPr>
                    <w:widowControl/>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有机泄漏物、燃烧废气、消防废水</w:t>
                  </w:r>
                </w:p>
              </w:tc>
              <w:tc>
                <w:tcPr>
                  <w:tcW w:w="708" w:type="pct"/>
                  <w:noWrap w:val="0"/>
                  <w:vAlign w:val="center"/>
                </w:tcPr>
                <w:p w14:paraId="4AEB2632">
                  <w:pPr>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大气、土壤、地下水</w:t>
                  </w:r>
                </w:p>
              </w:tc>
            </w:tr>
            <w:tr w14:paraId="64B6D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4" w:type="pct"/>
                  <w:noWrap w:val="0"/>
                  <w:vAlign w:val="center"/>
                </w:tcPr>
                <w:p w14:paraId="7E2ACB3E">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废气处理设施</w:t>
                  </w:r>
                </w:p>
              </w:tc>
              <w:tc>
                <w:tcPr>
                  <w:tcW w:w="974" w:type="pct"/>
                  <w:noWrap w:val="0"/>
                  <w:vAlign w:val="center"/>
                </w:tcPr>
                <w:p w14:paraId="6E415912">
                  <w:pPr>
                    <w:pStyle w:val="2"/>
                    <w:widowControl/>
                    <w:snapToGrid w:val="0"/>
                    <w:spacing w:after="0"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rPr>
                    <w:t>有机废气</w:t>
                  </w:r>
                  <w:r>
                    <w:rPr>
                      <w:rFonts w:hint="default" w:ascii="Times New Roman" w:hAnsi="Times New Roman" w:eastAsia="宋体" w:cs="Times New Roman"/>
                      <w:color w:val="auto"/>
                      <w:sz w:val="21"/>
                      <w:szCs w:val="21"/>
                      <w:lang w:val="en-US" w:eastAsia="zh-CN"/>
                    </w:rPr>
                    <w:t>、颗粒物</w:t>
                  </w:r>
                </w:p>
              </w:tc>
              <w:tc>
                <w:tcPr>
                  <w:tcW w:w="756" w:type="pct"/>
                  <w:noWrap w:val="0"/>
                  <w:vAlign w:val="center"/>
                </w:tcPr>
                <w:p w14:paraId="71AA44B9">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泄漏、火灾</w:t>
                  </w:r>
                </w:p>
              </w:tc>
              <w:tc>
                <w:tcPr>
                  <w:tcW w:w="873" w:type="pct"/>
                  <w:noWrap w:val="0"/>
                  <w:vAlign w:val="center"/>
                </w:tcPr>
                <w:p w14:paraId="599AC6A7">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设备故障，遇禁忌物或明火</w:t>
                  </w:r>
                </w:p>
              </w:tc>
              <w:tc>
                <w:tcPr>
                  <w:tcW w:w="1071" w:type="pct"/>
                  <w:noWrap w:val="0"/>
                  <w:vAlign w:val="center"/>
                </w:tcPr>
                <w:p w14:paraId="1723BDF1">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燃烧废气、消防废水</w:t>
                  </w:r>
                </w:p>
              </w:tc>
              <w:tc>
                <w:tcPr>
                  <w:tcW w:w="708" w:type="pct"/>
                  <w:noWrap w:val="0"/>
                  <w:vAlign w:val="center"/>
                </w:tcPr>
                <w:p w14:paraId="36BC3A67">
                  <w:pPr>
                    <w:widowControl/>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大气、土壤、地下水</w:t>
                  </w:r>
                </w:p>
              </w:tc>
            </w:tr>
          </w:tbl>
          <w:p w14:paraId="31F3BFE8">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7.3环境风险事故影响分析</w:t>
            </w:r>
          </w:p>
          <w:p w14:paraId="516CEFDC">
            <w:pPr>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①液态原辅料泄漏事故</w:t>
            </w:r>
          </w:p>
          <w:p w14:paraId="53C417A2">
            <w:pPr>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厂内液态原辅料</w:t>
            </w:r>
            <w:r>
              <w:rPr>
                <w:rFonts w:hint="default" w:ascii="Times New Roman" w:hAnsi="Times New Roman" w:eastAsia="宋体" w:cs="Times New Roman"/>
                <w:bCs/>
                <w:color w:val="auto"/>
                <w:sz w:val="24"/>
                <w:szCs w:val="24"/>
                <w:lang w:val="en-US" w:eastAsia="zh-CN"/>
              </w:rPr>
              <w:t>齿轮油、ESO</w:t>
            </w:r>
            <w:r>
              <w:rPr>
                <w:rFonts w:hint="default" w:ascii="Times New Roman" w:hAnsi="Times New Roman" w:eastAsia="宋体" w:cs="Times New Roman"/>
                <w:color w:val="auto"/>
                <w:sz w:val="24"/>
                <w:szCs w:val="24"/>
              </w:rPr>
              <w:t>等在使用、贮存过程若发生容器破损等情况</w:t>
            </w:r>
            <w:r>
              <w:rPr>
                <w:rFonts w:hint="default" w:ascii="Times New Roman" w:hAnsi="Times New Roman" w:eastAsia="宋体" w:cs="Times New Roman"/>
                <w:color w:val="auto"/>
                <w:sz w:val="24"/>
                <w:szCs w:val="24"/>
                <w:lang w:eastAsia="zh-CN"/>
              </w:rPr>
              <w:t>易发生</w:t>
            </w:r>
            <w:r>
              <w:rPr>
                <w:rFonts w:hint="default" w:ascii="Times New Roman" w:hAnsi="Times New Roman" w:eastAsia="宋体" w:cs="Times New Roman"/>
                <w:color w:val="auto"/>
                <w:sz w:val="24"/>
                <w:szCs w:val="24"/>
              </w:rPr>
              <w:t>泄漏事故，若地面未做防渗处理，泄漏物将通过地面渗漏，进而影响土壤和地下水。</w:t>
            </w:r>
          </w:p>
          <w:p w14:paraId="20B40CE0">
            <w:pPr>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若</w:t>
            </w:r>
            <w:r>
              <w:rPr>
                <w:rFonts w:hint="default" w:ascii="Times New Roman" w:hAnsi="Times New Roman" w:eastAsia="宋体" w:cs="Times New Roman"/>
                <w:bCs/>
                <w:color w:val="auto"/>
                <w:sz w:val="21"/>
                <w:szCs w:val="21"/>
                <w:lang w:val="en-US" w:eastAsia="zh-CN"/>
              </w:rPr>
              <w:t>齿轮油、ESO</w:t>
            </w:r>
            <w:r>
              <w:rPr>
                <w:rFonts w:hint="default" w:ascii="Times New Roman" w:hAnsi="Times New Roman" w:eastAsia="宋体" w:cs="Times New Roman"/>
                <w:color w:val="auto"/>
                <w:sz w:val="24"/>
                <w:szCs w:val="24"/>
              </w:rPr>
              <w:t>等可燃物质在存放及使用过程中，遇禁忌物或明火会引发火灾或爆炸事故，产生伴生/次生污染物通过大气扩散影响周围环境。</w:t>
            </w:r>
          </w:p>
          <w:p w14:paraId="5DFF7FDA">
            <w:pPr>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②危险废物收集储存系统发生事故</w:t>
            </w:r>
          </w:p>
          <w:p w14:paraId="229C7ED5">
            <w:pPr>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w:t>
            </w:r>
            <w:r>
              <w:rPr>
                <w:rFonts w:hint="default" w:ascii="Times New Roman" w:hAnsi="Times New Roman" w:eastAsia="宋体" w:cs="Times New Roman"/>
                <w:color w:val="auto"/>
                <w:sz w:val="24"/>
                <w:szCs w:val="24"/>
                <w:lang w:eastAsia="zh-CN"/>
              </w:rPr>
              <w:t>产过</w:t>
            </w:r>
            <w:r>
              <w:rPr>
                <w:rFonts w:hint="default" w:ascii="Times New Roman" w:hAnsi="Times New Roman" w:eastAsia="宋体" w:cs="Times New Roman"/>
                <w:color w:val="auto"/>
                <w:sz w:val="24"/>
                <w:szCs w:val="24"/>
              </w:rPr>
              <w:t>程中产生的危废（</w:t>
            </w:r>
            <w:r>
              <w:rPr>
                <w:rFonts w:hint="eastAsia" w:cs="Times New Roman"/>
                <w:color w:val="auto"/>
                <w:sz w:val="24"/>
                <w:szCs w:val="24"/>
                <w:lang w:val="en-US" w:eastAsia="zh-CN"/>
              </w:rPr>
              <w:t>冷却废液、</w:t>
            </w:r>
            <w:r>
              <w:rPr>
                <w:rFonts w:hint="default" w:ascii="Times New Roman" w:hAnsi="Times New Roman" w:eastAsia="宋体" w:cs="Times New Roman"/>
                <w:color w:val="auto"/>
                <w:sz w:val="24"/>
                <w:szCs w:val="24"/>
                <w:lang w:val="en-US" w:eastAsia="zh-CN"/>
              </w:rPr>
              <w:t>废齿轮油、废包装桶、废抹布手套、废活性炭</w:t>
            </w:r>
            <w:r>
              <w:rPr>
                <w:rFonts w:hint="eastAsia" w:cs="Times New Roman"/>
                <w:color w:val="auto"/>
                <w:sz w:val="24"/>
                <w:szCs w:val="24"/>
                <w:lang w:val="en-US" w:eastAsia="zh-CN"/>
              </w:rPr>
              <w:t>、沾染大豆油的废布袋、油泥</w:t>
            </w:r>
            <w:r>
              <w:rPr>
                <w:rFonts w:hint="default" w:ascii="Times New Roman" w:hAnsi="Times New Roman" w:eastAsia="宋体" w:cs="Times New Roman"/>
                <w:color w:val="auto"/>
                <w:sz w:val="24"/>
                <w:szCs w:val="24"/>
                <w:lang w:val="en-US" w:eastAsia="zh-CN"/>
              </w:rPr>
              <w:t>等</w:t>
            </w:r>
            <w:r>
              <w:rPr>
                <w:rFonts w:hint="default" w:ascii="Times New Roman" w:hAnsi="Times New Roman" w:eastAsia="宋体" w:cs="Times New Roman"/>
                <w:color w:val="auto"/>
                <w:sz w:val="24"/>
                <w:szCs w:val="24"/>
              </w:rPr>
              <w:t>）在收集、储存过程可能发生</w:t>
            </w:r>
            <w:r>
              <w:rPr>
                <w:rFonts w:hint="default" w:ascii="Times New Roman" w:hAnsi="Times New Roman" w:eastAsia="宋体" w:cs="Times New Roman"/>
                <w:color w:val="auto"/>
                <w:sz w:val="24"/>
                <w:szCs w:val="24"/>
                <w:lang w:eastAsia="zh-CN"/>
              </w:rPr>
              <w:t>泄漏</w:t>
            </w:r>
            <w:r>
              <w:rPr>
                <w:rFonts w:hint="default" w:ascii="Times New Roman" w:hAnsi="Times New Roman" w:eastAsia="宋体" w:cs="Times New Roman"/>
                <w:color w:val="auto"/>
                <w:sz w:val="24"/>
                <w:szCs w:val="24"/>
              </w:rPr>
              <w:t>，会对环境和人体造成不同的危害，企业液体危废拟放置在防漏托盘上，危废库拟设置防腐防渗措施，减少对外部环境的影响。将危险废物混入生活垃圾或随意丢弃，将对人体健康产生较大危害，故应加强危险废物管理工作，杜绝</w:t>
            </w:r>
            <w:r>
              <w:rPr>
                <w:rFonts w:hint="default" w:ascii="Times New Roman" w:hAnsi="Times New Roman" w:eastAsia="宋体" w:cs="Times New Roman"/>
                <w:color w:val="auto"/>
                <w:sz w:val="24"/>
                <w:szCs w:val="24"/>
                <w:lang w:eastAsia="zh-CN"/>
              </w:rPr>
              <w:t>发生</w:t>
            </w:r>
            <w:r>
              <w:rPr>
                <w:rFonts w:hint="default" w:ascii="Times New Roman" w:hAnsi="Times New Roman" w:eastAsia="宋体" w:cs="Times New Roman"/>
                <w:color w:val="auto"/>
                <w:sz w:val="24"/>
                <w:szCs w:val="24"/>
              </w:rPr>
              <w:t>危险废物随意丢弃事故。</w:t>
            </w:r>
          </w:p>
          <w:p w14:paraId="5D118F8F">
            <w:pPr>
              <w:numPr>
                <w:ilvl w:val="0"/>
                <w:numId w:val="0"/>
              </w:numPr>
              <w:snapToGrid w:val="0"/>
              <w:ind w:firstLine="480" w:firstLineChars="200"/>
              <w:jc w:val="left"/>
              <w:rPr>
                <w:rFonts w:hint="eastAsia" w:cs="Times New Roman"/>
                <w:color w:val="auto"/>
                <w:sz w:val="24"/>
                <w:szCs w:val="24"/>
                <w:lang w:val="en-US" w:eastAsia="zh-CN"/>
              </w:rPr>
            </w:pPr>
            <w:r>
              <w:rPr>
                <w:rFonts w:hint="eastAsia" w:cs="Times New Roman"/>
                <w:color w:val="auto"/>
                <w:sz w:val="24"/>
                <w:szCs w:val="24"/>
                <w:lang w:val="en-US" w:eastAsia="zh-CN"/>
              </w:rPr>
              <w:t>③粉尘爆炸影响</w:t>
            </w:r>
          </w:p>
          <w:p w14:paraId="559DE814">
            <w:pPr>
              <w:numPr>
                <w:ilvl w:val="0"/>
                <w:numId w:val="0"/>
              </w:numPr>
              <w:snapToGrid w:val="0"/>
              <w:ind w:firstLine="480" w:firstLineChars="200"/>
              <w:jc w:val="left"/>
              <w:rPr>
                <w:rFonts w:hint="eastAsia" w:cs="Times New Roman"/>
                <w:color w:val="auto"/>
                <w:sz w:val="24"/>
                <w:szCs w:val="24"/>
                <w:lang w:val="en-US" w:eastAsia="zh-CN"/>
              </w:rPr>
            </w:pPr>
            <w:r>
              <w:rPr>
                <w:rFonts w:hint="eastAsia" w:cs="Times New Roman"/>
                <w:color w:val="auto"/>
                <w:sz w:val="24"/>
                <w:szCs w:val="24"/>
                <w:lang w:val="en-US" w:eastAsia="zh-CN"/>
              </w:rPr>
              <w:t>根据《国家安全监管总局办公厅关于印发&lt;工贸行业重点可燃性粉尘目录（2015版）&gt;和&lt;工贸行业可燃性粉尘作业场所工艺设施防爆技术指南(试行)&gt;的通知》(安监总厅管四(2015)84号)，本项目pvc糊树脂和整平、破碎产生的粉尘属于可燃性粉尘。若长期未清理喷粉室周围的沉积粉尘，除尘系统故障或滤网堵塞，导致车间内悬浮粉尘浓度逐渐升高，一旦遇到点火源会引发爆炸，具有瞬间性、连锁性和高致死率的特点。</w:t>
            </w:r>
          </w:p>
          <w:p w14:paraId="29EBC751">
            <w:pPr>
              <w:numPr>
                <w:ilvl w:val="0"/>
                <w:numId w:val="0"/>
              </w:numPr>
              <w:snapToGrid w:val="0"/>
              <w:ind w:firstLine="480" w:firstLineChars="200"/>
              <w:jc w:val="left"/>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④</w:t>
            </w:r>
            <w:r>
              <w:rPr>
                <w:rFonts w:hint="default" w:ascii="Times New Roman" w:hAnsi="Times New Roman" w:eastAsia="宋体" w:cs="Times New Roman"/>
                <w:color w:val="auto"/>
                <w:sz w:val="24"/>
                <w:szCs w:val="24"/>
              </w:rPr>
              <w:t>火灾、爆炸次生风险</w:t>
            </w:r>
          </w:p>
          <w:p w14:paraId="3F15FE24">
            <w:pPr>
              <w:adjustRightInd w:val="0"/>
              <w:snapToGrid w:val="0"/>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一旦发生火灾、爆炸事故，事故废水中将会含有泄漏化学品物质，发生事故时，立即关闭雨水管阀门，防止事故废水进入周边地表水。</w:t>
            </w:r>
          </w:p>
          <w:p w14:paraId="3AF4FF4F">
            <w:pPr>
              <w:widowControl/>
              <w:ind w:firstLine="420"/>
              <w:jc w:val="left"/>
              <w:textAlignment w:val="bottom"/>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⑤</w:t>
            </w:r>
            <w:r>
              <w:rPr>
                <w:rFonts w:hint="default" w:ascii="Times New Roman" w:hAnsi="Times New Roman" w:eastAsia="宋体" w:cs="Times New Roman"/>
                <w:color w:val="auto"/>
                <w:sz w:val="24"/>
                <w:szCs w:val="24"/>
              </w:rPr>
              <w:t>废气处理设施故障，生产产生的废气（有机废气、颗粒物）未经处置直接外排，影响周边大气环境；</w:t>
            </w:r>
            <w:r>
              <w:rPr>
                <w:rFonts w:hint="default" w:ascii="Times New Roman" w:hAnsi="Times New Roman" w:eastAsia="宋体" w:cs="Times New Roman"/>
                <w:color w:val="auto"/>
                <w:sz w:val="24"/>
                <w:szCs w:val="24"/>
                <w:lang w:val="en-US" w:eastAsia="zh-CN"/>
              </w:rPr>
              <w:t>有机废气</w:t>
            </w:r>
            <w:r>
              <w:rPr>
                <w:rFonts w:hint="default" w:ascii="Times New Roman" w:hAnsi="Times New Roman" w:eastAsia="宋体" w:cs="Times New Roman"/>
                <w:color w:val="auto"/>
                <w:sz w:val="24"/>
                <w:szCs w:val="24"/>
              </w:rPr>
              <w:t>若遇禁忌物或明火会引发火灾事故。</w:t>
            </w:r>
          </w:p>
          <w:p w14:paraId="32752072">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7.4环境风险防范措施</w:t>
            </w:r>
          </w:p>
          <w:p w14:paraId="3C8A4795">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（1）规范配置厂区消防设施，原辅料储存区干燥通风，严禁烟火。</w:t>
            </w:r>
          </w:p>
          <w:p w14:paraId="2FDFD1C0">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（2）液态物质包装桶底部应设置防泄漏托盘，并保持库房内干燥通风、密封避光，安装通风设施，对夏季高温时应采取遮阳和防高温隔绝涂料等措施。</w:t>
            </w:r>
          </w:p>
          <w:p w14:paraId="4241D6FD">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（3）废气处理设施应委托有资质单位设计施工，做好日常维护和检修，及时排查事故安全隐患，确保安全可靠。</w:t>
            </w:r>
          </w:p>
          <w:p w14:paraId="2D8C777F">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（4）生产车间、</w:t>
            </w:r>
            <w:r>
              <w:rPr>
                <w:rFonts w:hint="default" w:ascii="Times New Roman" w:hAnsi="Times New Roman" w:eastAsia="宋体" w:cs="Times New Roman"/>
                <w:color w:val="auto"/>
                <w:sz w:val="24"/>
                <w:szCs w:val="24"/>
                <w:highlight w:val="none"/>
              </w:rPr>
              <w:t>原辅料</w:t>
            </w:r>
            <w:r>
              <w:rPr>
                <w:rFonts w:hint="default" w:ascii="Times New Roman" w:hAnsi="Times New Roman" w:eastAsia="宋体" w:cs="Times New Roman"/>
                <w:color w:val="auto"/>
                <w:sz w:val="24"/>
                <w:szCs w:val="24"/>
                <w:highlight w:val="none"/>
                <w:lang w:val="en-US" w:eastAsia="zh-CN"/>
              </w:rPr>
              <w:t>仓库</w:t>
            </w:r>
            <w:r>
              <w:rPr>
                <w:rFonts w:hint="default" w:ascii="Times New Roman" w:hAnsi="Times New Roman" w:eastAsia="宋体" w:cs="Times New Roman"/>
                <w:color w:val="auto"/>
                <w:sz w:val="24"/>
                <w:szCs w:val="24"/>
              </w:rPr>
              <w:t>严禁动火作业或使用明火、高温热源，使用合格的防爆电气设备，采取相应的防雷防静电措施，保证设备设施可靠接地，禁止作业场所违规使用可能产生火花和高温的作业工具，减少引发爆炸的点火源；按相关规范和标准进行设计、安装、使用和维护通风除尘系统，按规定进行空气检测和清理粉尘，以有效减少或避免粉尘在作业场所扩散或沉积。</w:t>
            </w:r>
          </w:p>
          <w:p w14:paraId="1CE03346">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（5）危险废物及时转移至危废暂存间储存，危废暂存间按照《危险废物贮存污染控制标准》（GB18597-20</w:t>
            </w:r>
            <w:r>
              <w:rPr>
                <w:rFonts w:hint="default" w:ascii="Times New Roman" w:hAnsi="Times New Roman" w:eastAsia="宋体" w:cs="Times New Roman"/>
                <w:color w:val="auto"/>
                <w:sz w:val="24"/>
                <w:szCs w:val="24"/>
                <w:lang w:val="en-US" w:eastAsia="zh-CN"/>
              </w:rPr>
              <w:t>23</w:t>
            </w:r>
            <w:r>
              <w:rPr>
                <w:rFonts w:hint="default" w:ascii="Times New Roman" w:hAnsi="Times New Roman" w:eastAsia="宋体" w:cs="Times New Roman"/>
                <w:color w:val="auto"/>
                <w:sz w:val="24"/>
                <w:szCs w:val="24"/>
              </w:rPr>
              <w:t>）要求做好防渗防漏措施及规范管理。</w:t>
            </w:r>
          </w:p>
          <w:p w14:paraId="36679BB6">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根据《关于做好生态环境和应急管理部门联动工作的意见》（苏环办﹝2020﹞101号），企业需做到以下几点：a.切实履行好从危险废物产生、收集、贮存、运输、利用、处置等环节各项环保和安全职责；b.制定危险废物管理计划并报属地生态环境部门备案；c.在项目建设过程中和项目建成后均应接受生态环境部门和应急管理部门的监督和管理，积极配合相关部门做好风险防控工作，尽可能避免事故的发生；d.做好设施建设、运行、维护、拆除工作，对设施开展安全风险辨识管控工作，健全内部污染防治设施稳定运行和管理责任制度，严格依据标准规范建设环境治理设施，确保环境治理设施安全、稳定、有效运行。</w:t>
            </w:r>
          </w:p>
          <w:p w14:paraId="244AE243">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（7）根据《省生态厅关于印发重点环保设施项目安全辨识和固体废物鉴定评价工作具体实施方案的通知》（苏环办﹝2022﹞111号）</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企业要对脱硫脱硝、煤改气、挥发性有机物回收、污水处理、粉尘治理、RTO焚烧炉等六类环境治理设施开展安全风险辨识管控，要健全内部污染防治设施稳定运行和管理责任制度，严格依据标准规范建设环境治理设施，确保环境治理设施安全、稳定、有效运行。本项目涉及“挥发性有机物回收</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粉尘治理</w:t>
            </w:r>
            <w:r>
              <w:rPr>
                <w:rFonts w:hint="default" w:ascii="Times New Roman" w:hAnsi="Times New Roman" w:eastAsia="宋体" w:cs="Times New Roman"/>
                <w:color w:val="auto"/>
                <w:sz w:val="24"/>
                <w:szCs w:val="24"/>
              </w:rPr>
              <w:t>”，企业须按该文件要求在运营过程中切实履行好自身主体责任，配合相关部门积极有效开展环境保护和应急管理工作。</w:t>
            </w:r>
          </w:p>
          <w:p w14:paraId="1CE77605">
            <w:pPr>
              <w:snapToGrid w:val="0"/>
              <w:ind w:firstLine="42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eastAsia" w:cs="Times New Roman"/>
                <w:color w:val="auto"/>
                <w:sz w:val="24"/>
                <w:szCs w:val="24"/>
                <w:lang w:val="en-US" w:eastAsia="zh-CN"/>
              </w:rPr>
              <w:t>8</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粉尘爆炸事故事故风险防范措施</w:t>
            </w:r>
          </w:p>
          <w:p w14:paraId="6C7D81D0">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cs="Times New Roman"/>
                <w:color w:val="auto"/>
                <w:sz w:val="24"/>
                <w:szCs w:val="24"/>
                <w:lang w:val="en-US" w:eastAsia="zh-CN"/>
              </w:rPr>
              <w:t>pvc糊树脂和整平、破碎产生的粉尘</w:t>
            </w:r>
            <w:r>
              <w:rPr>
                <w:rFonts w:hint="default" w:ascii="Times New Roman" w:hAnsi="Times New Roman" w:eastAsia="宋体" w:cs="Times New Roman"/>
                <w:color w:val="auto"/>
                <w:sz w:val="24"/>
                <w:szCs w:val="24"/>
              </w:rPr>
              <w:t>属于可燃性粉尘，根据《粉尘防爆安全规程》（GB 15577-2018），企业应辨识所存在的粉尘爆炸危险场所,确定可燃性粉尘爆炸危险性以及粉尘爆炸危险场所的数量、位置、危险区域等,分析存在的粉尘爆炸危险因素,评估粉尘爆炸风险,并制定能消除或有效控制粉尘爆炸风险的措施。</w:t>
            </w:r>
          </w:p>
          <w:p w14:paraId="3D270887">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企业应建立粉尘防爆相关安全管理制度（包括除尘系统管理等）和岗位安全操作规程,安全操作规程应包含防范粉尘爆炸的安全作业和应急处置措施等内容。</w:t>
            </w:r>
          </w:p>
          <w:p w14:paraId="5F10371B">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应根据本标准并结合自身工艺、设备、粉尘爆炸特性、爆炸防护措施及安全管理制度等制定粉尘防爆安全检查表,并定期开展粉尘防爆安全检查。企业应每季度至少检查一次,车间(或工段)应每月至少检查一次。</w:t>
            </w:r>
          </w:p>
          <w:p w14:paraId="19F7214A">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应开展粉尘防爆安全教育及培训,普及粉尘防爆安全知识和有关法规、标准,使员工了解本企业粉尘爆炸危险场所的危险程度和防爆措施;企业主要负责人、安全管理人员和粉尘爆炸危险岗位的作业人员及设备设施检维修人员应进行专项粉尘防爆安全技术培训,并经考试合格,方准上岗。</w:t>
            </w:r>
          </w:p>
          <w:p w14:paraId="4A6468E6">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应编制粉尘爆炸事故应急预案,并定期开展应急演练。通风除尘、粉尘爆炸预防及控制等安全设备设施应确保持续有效,未经企业安全管理部门或安全负责人批准,不应更换或停止使用。粉尘爆炸危险场所的出人口、生产区域及重点危险设备设施等部位,应设置显著的安全警示标识标志。</w:t>
            </w:r>
          </w:p>
          <w:p w14:paraId="3B9B5256">
            <w:pPr>
              <w:snapToGrid w:val="0"/>
              <w:ind w:firstLine="42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事故应急池</w:t>
            </w:r>
          </w:p>
          <w:p w14:paraId="2B5AFD6B">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园</w:t>
            </w:r>
            <w:r>
              <w:rPr>
                <w:rFonts w:hint="default" w:ascii="Times New Roman" w:hAnsi="Times New Roman" w:eastAsia="宋体" w:cs="Times New Roman"/>
                <w:color w:val="auto"/>
                <w:sz w:val="24"/>
                <w:szCs w:val="24"/>
              </w:rPr>
              <w:t>区</w:t>
            </w:r>
            <w:r>
              <w:rPr>
                <w:rFonts w:hint="default" w:ascii="Times New Roman" w:hAnsi="Times New Roman" w:eastAsia="宋体" w:cs="Times New Roman"/>
                <w:color w:val="auto"/>
                <w:sz w:val="24"/>
                <w:szCs w:val="24"/>
                <w:lang w:val="en-US" w:eastAsia="zh-CN"/>
              </w:rPr>
              <w:t>已</w:t>
            </w:r>
            <w:r>
              <w:rPr>
                <w:rFonts w:hint="default" w:ascii="Times New Roman" w:hAnsi="Times New Roman" w:eastAsia="宋体" w:cs="Times New Roman"/>
                <w:color w:val="auto"/>
                <w:sz w:val="24"/>
                <w:szCs w:val="24"/>
              </w:rPr>
              <w:t>设置事故收集池，并设计相应的切换装置。正常生产运行时，打开雨水管道阀门，收集的雨水直接排入市政雨水管网。事故状态下和下雨初期，打开切换装置，收集的初期雨水和事故消防水排入</w:t>
            </w:r>
            <w:r>
              <w:rPr>
                <w:rFonts w:hint="default" w:ascii="Times New Roman" w:hAnsi="Times New Roman" w:eastAsia="宋体" w:cs="Times New Roman"/>
                <w:color w:val="auto"/>
                <w:sz w:val="24"/>
                <w:szCs w:val="24"/>
                <w:lang w:val="en-US" w:eastAsia="zh-CN"/>
              </w:rPr>
              <w:t>园区</w:t>
            </w:r>
            <w:r>
              <w:rPr>
                <w:rFonts w:hint="default" w:ascii="Times New Roman" w:hAnsi="Times New Roman" w:eastAsia="宋体" w:cs="Times New Roman"/>
                <w:color w:val="auto"/>
                <w:sz w:val="24"/>
                <w:szCs w:val="24"/>
              </w:rPr>
              <w:t>内事故池，切断污染物与外部的通道，将污染物控制在</w:t>
            </w:r>
            <w:r>
              <w:rPr>
                <w:rFonts w:hint="default" w:ascii="Times New Roman" w:hAnsi="Times New Roman" w:eastAsia="宋体" w:cs="Times New Roman"/>
                <w:color w:val="auto"/>
                <w:sz w:val="24"/>
                <w:szCs w:val="24"/>
                <w:lang w:val="en-US" w:eastAsia="zh-CN"/>
              </w:rPr>
              <w:t>园</w:t>
            </w:r>
            <w:r>
              <w:rPr>
                <w:rFonts w:hint="default" w:ascii="Times New Roman" w:hAnsi="Times New Roman" w:eastAsia="宋体" w:cs="Times New Roman"/>
                <w:color w:val="auto"/>
                <w:sz w:val="24"/>
                <w:szCs w:val="24"/>
              </w:rPr>
              <w:t>区内，防止事故泄漏物料和污染消防水造成的环境污染。</w:t>
            </w:r>
          </w:p>
          <w:p w14:paraId="3640F791">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参照《建设项目环境风险评价技术导则》（HJ169-2018）、《化工建设项目环境保护设计规范》（GB50483-2019）和《石化企业水体环境风险防控技术要求》（Q/SH0729-2018），事故应急池总有效容积计算公式如下：</w:t>
            </w:r>
          </w:p>
          <w:p w14:paraId="3107C225">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事故池容量V总=(V1+V2-V3)max+V4+V5</w:t>
            </w:r>
          </w:p>
          <w:p w14:paraId="65BC9B5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V1—收集系统范围内发生事故的物料量；</w:t>
            </w:r>
          </w:p>
          <w:p w14:paraId="2554CBC7">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V2—发生事故的储罐、装置或铁路、汽车装卸区的消防水量；</w:t>
            </w:r>
          </w:p>
          <w:p w14:paraId="4817DA7D">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V3—发生事故时可以转输到其他储存或处理设施的物料量；</w:t>
            </w:r>
          </w:p>
          <w:p w14:paraId="5713D290">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V4—发生事故时仍必须进入该收集系统的生产废水量；</w:t>
            </w:r>
          </w:p>
          <w:p w14:paraId="03C500FD">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V5—发生事故时可能进入该收集系统的降雨量；</w:t>
            </w:r>
          </w:p>
          <w:p w14:paraId="6725ABFE">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事故应急池具体容积大小计算如下：</w:t>
            </w:r>
          </w:p>
          <w:p w14:paraId="4A36E290">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①V1</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本项目不涉及储罐</w:t>
            </w:r>
            <w:r>
              <w:rPr>
                <w:rFonts w:hint="default" w:ascii="Times New Roman" w:hAnsi="Times New Roman" w:eastAsia="宋体" w:cs="Times New Roman"/>
                <w:color w:val="auto"/>
                <w:sz w:val="24"/>
                <w:szCs w:val="24"/>
              </w:rPr>
              <w:t>，</w:t>
            </w:r>
            <w:r>
              <w:rPr>
                <w:rFonts w:hint="default" w:ascii="Times New Roman" w:hAnsi="Times New Roman" w:eastAsia="宋体" w:cs="Times New Roman"/>
                <w:b w:val="0"/>
                <w:bCs w:val="0"/>
                <w:color w:val="auto"/>
                <w:sz w:val="24"/>
                <w:szCs w:val="24"/>
                <w:lang w:val="en-US" w:eastAsia="zh-CN"/>
              </w:rPr>
              <w:t>则</w:t>
            </w:r>
            <w:r>
              <w:rPr>
                <w:rFonts w:hint="default" w:ascii="Times New Roman" w:hAnsi="Times New Roman" w:eastAsia="宋体" w:cs="Times New Roman"/>
                <w:b w:val="0"/>
                <w:bCs w:val="0"/>
                <w:color w:val="auto"/>
                <w:sz w:val="24"/>
                <w:szCs w:val="24"/>
              </w:rPr>
              <w:t>V1=</w:t>
            </w:r>
            <w:r>
              <w:rPr>
                <w:rFonts w:hint="default" w:ascii="Times New Roman" w:hAnsi="Times New Roman" w:eastAsia="宋体" w:cs="Times New Roman"/>
                <w:b w:val="0"/>
                <w:bCs w:val="0"/>
                <w:color w:val="auto"/>
                <w:sz w:val="24"/>
                <w:szCs w:val="24"/>
                <w:lang w:val="en-US" w:eastAsia="zh-CN"/>
              </w:rPr>
              <w:t>0</w:t>
            </w:r>
            <w:r>
              <w:rPr>
                <w:rFonts w:hint="default" w:ascii="Times New Roman" w:hAnsi="Times New Roman" w:eastAsia="宋体" w:cs="Times New Roman"/>
                <w:b w:val="0"/>
                <w:bCs w:val="0"/>
                <w:color w:val="auto"/>
                <w:sz w:val="24"/>
                <w:szCs w:val="24"/>
              </w:rPr>
              <w:t>。</w:t>
            </w:r>
          </w:p>
          <w:p w14:paraId="06F22F81">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②V2=ΣQ消×t消：Q消—发生事故的储罐、装置或铁路、汽车装卸区同时使用的消防设施给水流量，m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/h；</w:t>
            </w:r>
          </w:p>
          <w:p w14:paraId="17B7C07A">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t消—消防设施对应的设计消防历时，h。</w:t>
            </w:r>
          </w:p>
          <w:p w14:paraId="71053A0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厂内消防泵设计有效流量</w:t>
            </w:r>
            <w:r>
              <w:rPr>
                <w:rFonts w:hint="default" w:ascii="Times New Roman" w:hAnsi="Times New Roman" w:eastAsia="宋体" w:cs="Times New Roman"/>
                <w:b w:val="0"/>
                <w:bCs w:val="0"/>
                <w:color w:val="auto"/>
                <w:sz w:val="24"/>
                <w:szCs w:val="24"/>
                <w:lang w:val="en-US" w:eastAsia="zh-CN"/>
              </w:rPr>
              <w:t>20</w:t>
            </w:r>
            <w:r>
              <w:rPr>
                <w:rFonts w:hint="default" w:ascii="Times New Roman" w:hAnsi="Times New Roman" w:eastAsia="宋体" w:cs="Times New Roman"/>
                <w:b w:val="0"/>
                <w:bCs w:val="0"/>
                <w:color w:val="auto"/>
                <w:sz w:val="24"/>
                <w:szCs w:val="24"/>
              </w:rPr>
              <w:t>L/s，假设火灾持续时间为2h，则室外发生一次火灾时消防用水量为：0.0</w:t>
            </w:r>
            <w:r>
              <w:rPr>
                <w:rFonts w:hint="default" w:ascii="Times New Roman" w:hAnsi="Times New Roman" w:eastAsia="宋体" w:cs="Times New Roman"/>
                <w:b w:val="0"/>
                <w:bCs w:val="0"/>
                <w:color w:val="auto"/>
                <w:sz w:val="24"/>
                <w:szCs w:val="24"/>
                <w:lang w:val="en-US" w:eastAsia="zh-CN"/>
              </w:rPr>
              <w:t>20</w:t>
            </w:r>
            <w:r>
              <w:rPr>
                <w:rFonts w:hint="default" w:ascii="Times New Roman" w:hAnsi="Times New Roman" w:eastAsia="宋体" w:cs="Times New Roman"/>
                <w:b w:val="0"/>
                <w:bCs w:val="0"/>
                <w:color w:val="auto"/>
                <w:sz w:val="24"/>
                <w:szCs w:val="24"/>
              </w:rPr>
              <w:t>×3600×2=</w:t>
            </w:r>
            <w:r>
              <w:rPr>
                <w:rFonts w:hint="default" w:ascii="Times New Roman" w:hAnsi="Times New Roman" w:eastAsia="宋体" w:cs="Times New Roman"/>
                <w:b w:val="0"/>
                <w:bCs w:val="0"/>
                <w:color w:val="auto"/>
                <w:sz w:val="24"/>
                <w:szCs w:val="24"/>
                <w:lang w:val="en-US" w:eastAsia="zh-CN"/>
              </w:rPr>
              <w:t>144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，V2=</w:t>
            </w:r>
            <w:r>
              <w:rPr>
                <w:rFonts w:hint="default" w:ascii="Times New Roman" w:hAnsi="Times New Roman" w:eastAsia="宋体" w:cs="Times New Roman"/>
                <w:b w:val="0"/>
                <w:bCs w:val="0"/>
                <w:color w:val="auto"/>
                <w:sz w:val="24"/>
                <w:szCs w:val="24"/>
                <w:lang w:val="en-US" w:eastAsia="zh-CN"/>
              </w:rPr>
              <w:t>144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p>
          <w:p w14:paraId="26BE79FD">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③V3</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公司所在</w:t>
            </w:r>
            <w:r>
              <w:rPr>
                <w:rFonts w:hint="default" w:ascii="Times New Roman" w:hAnsi="Times New Roman" w:eastAsia="宋体" w:cs="Times New Roman"/>
                <w:b w:val="0"/>
                <w:bCs w:val="0"/>
                <w:color w:val="auto"/>
                <w:sz w:val="24"/>
                <w:szCs w:val="24"/>
                <w:lang w:val="en-US" w:eastAsia="zh-CN"/>
              </w:rPr>
              <w:t>园</w:t>
            </w:r>
            <w:r>
              <w:rPr>
                <w:rFonts w:hint="default" w:ascii="Times New Roman" w:hAnsi="Times New Roman" w:eastAsia="宋体" w:cs="Times New Roman"/>
                <w:b w:val="0"/>
                <w:bCs w:val="0"/>
                <w:color w:val="auto"/>
                <w:sz w:val="24"/>
                <w:szCs w:val="24"/>
              </w:rPr>
              <w:t>区雨水管网总长度约为</w:t>
            </w:r>
            <w:r>
              <w:rPr>
                <w:rFonts w:hint="default" w:ascii="Times New Roman" w:hAnsi="Times New Roman" w:eastAsia="宋体" w:cs="Times New Roman"/>
                <w:b w:val="0"/>
                <w:bCs w:val="0"/>
                <w:color w:val="auto"/>
                <w:sz w:val="24"/>
                <w:szCs w:val="24"/>
                <w:lang w:val="en-US" w:eastAsia="zh-CN"/>
              </w:rPr>
              <w:t>1</w:t>
            </w:r>
            <w:r>
              <w:rPr>
                <w:rFonts w:hint="eastAsia"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lang w:val="en-US" w:eastAsia="zh-CN"/>
              </w:rPr>
              <w:t>0</w:t>
            </w:r>
            <w:r>
              <w:rPr>
                <w:rFonts w:hint="default" w:ascii="Times New Roman" w:hAnsi="Times New Roman" w:eastAsia="宋体" w:cs="Times New Roman"/>
                <w:b w:val="0"/>
                <w:bCs w:val="0"/>
                <w:color w:val="auto"/>
                <w:sz w:val="24"/>
                <w:szCs w:val="24"/>
              </w:rPr>
              <w:t>0m，雨水管内径为0.</w:t>
            </w:r>
            <w:r>
              <w:rPr>
                <w:rFonts w:hint="default" w:ascii="Times New Roman" w:hAnsi="Times New Roman" w:eastAsia="宋体"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则雨水管网总容积约为</w:t>
            </w:r>
            <w:r>
              <w:rPr>
                <w:rFonts w:hint="eastAsia" w:cs="Times New Roman"/>
                <w:b w:val="0"/>
                <w:bCs w:val="0"/>
                <w:color w:val="auto"/>
                <w:sz w:val="24"/>
                <w:szCs w:val="24"/>
                <w:lang w:val="en-US" w:eastAsia="zh-CN"/>
              </w:rPr>
              <w:t>176</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，事故时可容纳消防尾水量为</w:t>
            </w:r>
            <w:r>
              <w:rPr>
                <w:rFonts w:hint="eastAsia" w:cs="Times New Roman"/>
                <w:b w:val="0"/>
                <w:bCs w:val="0"/>
                <w:color w:val="auto"/>
                <w:sz w:val="24"/>
                <w:szCs w:val="24"/>
                <w:lang w:val="en-US" w:eastAsia="zh-CN"/>
              </w:rPr>
              <w:t>141</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（以雨水管网总容积的</w:t>
            </w:r>
            <w:r>
              <w:rPr>
                <w:rFonts w:hint="default" w:ascii="Times New Roman" w:hAnsi="Times New Roman" w:eastAsia="宋体" w:cs="Times New Roman"/>
                <w:b w:val="0"/>
                <w:bCs w:val="0"/>
                <w:color w:val="auto"/>
                <w:sz w:val="24"/>
                <w:szCs w:val="24"/>
                <w:lang w:val="en-US" w:eastAsia="zh-CN"/>
              </w:rPr>
              <w:t>8</w:t>
            </w:r>
            <w:r>
              <w:rPr>
                <w:rFonts w:hint="default" w:ascii="Times New Roman" w:hAnsi="Times New Roman" w:eastAsia="宋体" w:cs="Times New Roman"/>
                <w:b w:val="0"/>
                <w:bCs w:val="0"/>
                <w:color w:val="auto"/>
                <w:sz w:val="24"/>
                <w:szCs w:val="24"/>
              </w:rPr>
              <w:t>0%计），则V3＝</w:t>
            </w:r>
            <w:r>
              <w:rPr>
                <w:rFonts w:hint="eastAsia" w:cs="Times New Roman"/>
                <w:b w:val="0"/>
                <w:bCs w:val="0"/>
                <w:color w:val="auto"/>
                <w:sz w:val="24"/>
                <w:szCs w:val="24"/>
                <w:lang w:val="en-US" w:eastAsia="zh-CN"/>
              </w:rPr>
              <w:t>141</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p>
          <w:p w14:paraId="683C4BA4">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④V4</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发生事故时进入收集系统的生产废水量为0m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，V4=0m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p>
          <w:p w14:paraId="1BB1D43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⑤V5</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常州平均降雨量1074mm；多年降平均雨天数126天，平均降雨量q＝8.52mm，事故状态下污染区汇水面积约</w:t>
            </w:r>
            <w:r>
              <w:rPr>
                <w:rFonts w:hint="default" w:ascii="Times New Roman" w:hAnsi="Times New Roman" w:eastAsia="宋体" w:cs="Times New Roman"/>
                <w:b w:val="0"/>
                <w:bCs w:val="0"/>
                <w:color w:val="auto"/>
                <w:sz w:val="24"/>
                <w:szCs w:val="24"/>
                <w:lang w:val="en-US" w:eastAsia="zh-CN"/>
              </w:rPr>
              <w:t>0.1</w:t>
            </w:r>
            <w:r>
              <w:rPr>
                <w:rFonts w:hint="default" w:ascii="Times New Roman" w:hAnsi="Times New Roman" w:eastAsia="宋体" w:cs="Times New Roman"/>
                <w:b w:val="0"/>
                <w:bCs w:val="0"/>
                <w:color w:val="auto"/>
                <w:sz w:val="24"/>
                <w:szCs w:val="24"/>
              </w:rPr>
              <w:t>ha，计算V5＝</w:t>
            </w:r>
            <w:r>
              <w:rPr>
                <w:rFonts w:hint="default" w:ascii="Times New Roman" w:hAnsi="Times New Roman" w:eastAsia="宋体" w:cs="Times New Roman"/>
                <w:b w:val="0"/>
                <w:bCs w:val="0"/>
                <w:color w:val="auto"/>
                <w:sz w:val="24"/>
                <w:szCs w:val="24"/>
                <w:lang w:val="en-US" w:eastAsia="zh-CN"/>
              </w:rPr>
              <w:t>9</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r>
              <w:rPr>
                <w:rFonts w:hint="default" w:ascii="Times New Roman" w:hAnsi="Times New Roman" w:eastAsia="宋体" w:cs="Times New Roman"/>
                <w:b w:val="0"/>
                <w:bCs w:val="0"/>
                <w:color w:val="auto"/>
                <w:sz w:val="24"/>
                <w:szCs w:val="24"/>
              </w:rPr>
              <w:t>。</w:t>
            </w:r>
          </w:p>
          <w:p w14:paraId="700CAAE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V5=10qf：q—降雨强度，mm；</w:t>
            </w:r>
          </w:p>
          <w:p w14:paraId="64D2A3EF">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f—必须进入事故废水收集系统的雨水汇水面积，ha。</w:t>
            </w:r>
          </w:p>
          <w:p w14:paraId="0A43483A">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⑥V总=(V1+V2-V3)+V4+V5=（</w:t>
            </w:r>
            <w:r>
              <w:rPr>
                <w:rFonts w:hint="default" w:ascii="Times New Roman" w:hAnsi="Times New Roman" w:eastAsia="宋体" w:cs="Times New Roman"/>
                <w:b w:val="0"/>
                <w:bCs w:val="0"/>
                <w:color w:val="auto"/>
                <w:sz w:val="24"/>
                <w:szCs w:val="24"/>
                <w:lang w:val="en-US" w:eastAsia="zh-CN"/>
              </w:rPr>
              <w:t>0</w:t>
            </w:r>
            <w:r>
              <w:rPr>
                <w:rFonts w:hint="default" w:ascii="Times New Roman" w:hAnsi="Times New Roman" w:eastAsia="宋体" w:cs="Times New Roman"/>
                <w:b w:val="0"/>
                <w:bCs w:val="0"/>
                <w:color w:val="auto"/>
                <w:sz w:val="24"/>
                <w:szCs w:val="24"/>
              </w:rPr>
              <w:t>+1</w:t>
            </w:r>
            <w:r>
              <w:rPr>
                <w:rFonts w:hint="default" w:ascii="Times New Roman" w:hAnsi="Times New Roman" w:eastAsia="宋体" w:cs="Times New Roman"/>
                <w:b w:val="0"/>
                <w:bCs w:val="0"/>
                <w:color w:val="auto"/>
                <w:sz w:val="24"/>
                <w:szCs w:val="24"/>
                <w:lang w:val="en-US" w:eastAsia="zh-CN"/>
              </w:rPr>
              <w:t>44</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b w:val="0"/>
                <w:bCs w:val="0"/>
                <w:color w:val="auto"/>
                <w:sz w:val="24"/>
                <w:szCs w:val="24"/>
                <w:lang w:val="en-US" w:eastAsia="zh-CN"/>
              </w:rPr>
              <w:t>1</w:t>
            </w:r>
            <w:r>
              <w:rPr>
                <w:rFonts w:hint="eastAsia" w:cs="Times New Roman"/>
                <w:b w:val="0"/>
                <w:bCs w:val="0"/>
                <w:color w:val="auto"/>
                <w:sz w:val="24"/>
                <w:szCs w:val="24"/>
                <w:lang w:val="en-US" w:eastAsia="zh-CN"/>
              </w:rPr>
              <w:t>41</w:t>
            </w:r>
            <w:r>
              <w:rPr>
                <w:rFonts w:hint="default" w:ascii="Times New Roman" w:hAnsi="Times New Roman" w:eastAsia="宋体" w:cs="Times New Roman"/>
                <w:b w:val="0"/>
                <w:bCs w:val="0"/>
                <w:color w:val="auto"/>
                <w:sz w:val="24"/>
                <w:szCs w:val="24"/>
              </w:rPr>
              <w:t>）+0+</w:t>
            </w:r>
            <w:r>
              <w:rPr>
                <w:rFonts w:hint="default" w:ascii="Times New Roman" w:hAnsi="Times New Roman" w:eastAsia="宋体" w:cs="Times New Roman"/>
                <w:b w:val="0"/>
                <w:bCs w:val="0"/>
                <w:color w:val="auto"/>
                <w:sz w:val="24"/>
                <w:szCs w:val="24"/>
                <w:lang w:val="en-US" w:eastAsia="zh-CN"/>
              </w:rPr>
              <w:t>9</w:t>
            </w:r>
            <w:r>
              <w:rPr>
                <w:rFonts w:hint="default" w:ascii="Times New Roman" w:hAnsi="Times New Roman" w:eastAsia="宋体" w:cs="Times New Roman"/>
                <w:b w:val="0"/>
                <w:bCs w:val="0"/>
                <w:color w:val="auto"/>
                <w:sz w:val="24"/>
                <w:szCs w:val="24"/>
              </w:rPr>
              <w:t>=</w:t>
            </w:r>
            <w:r>
              <w:rPr>
                <w:rFonts w:hint="eastAsia" w:cs="Times New Roman"/>
                <w:b w:val="0"/>
                <w:bCs w:val="0"/>
                <w:color w:val="auto"/>
                <w:sz w:val="24"/>
                <w:szCs w:val="24"/>
                <w:lang w:val="en-US" w:eastAsia="zh-CN"/>
              </w:rPr>
              <w:t>12</w:t>
            </w:r>
            <w:r>
              <w:rPr>
                <w:rFonts w:hint="default" w:ascii="Times New Roman" w:hAnsi="Times New Roman" w:eastAsia="宋体" w:cs="Times New Roman"/>
                <w:b w:val="0"/>
                <w:bCs w:val="0"/>
                <w:color w:val="auto"/>
                <w:sz w:val="24"/>
                <w:szCs w:val="24"/>
              </w:rPr>
              <w:t>m</w:t>
            </w:r>
            <w:r>
              <w:rPr>
                <w:rFonts w:hint="default" w:ascii="Times New Roman" w:hAnsi="Times New Roman" w:eastAsia="宋体" w:cs="Times New Roman"/>
                <w:b w:val="0"/>
                <w:bCs w:val="0"/>
                <w:color w:val="auto"/>
                <w:sz w:val="24"/>
                <w:szCs w:val="24"/>
                <w:vertAlign w:val="superscript"/>
              </w:rPr>
              <w:t>3</w:t>
            </w:r>
          </w:p>
          <w:p w14:paraId="1D034EB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color w:val="auto"/>
                <w:kern w:val="0"/>
                <w:sz w:val="24"/>
                <w:szCs w:val="24"/>
                <w:highlight w:val="none"/>
              </w:rPr>
            </w:pPr>
            <w:r>
              <w:rPr>
                <w:rFonts w:hint="default" w:ascii="Times New Roman" w:hAnsi="Times New Roman" w:eastAsia="宋体" w:cs="Times New Roman"/>
                <w:b w:val="0"/>
                <w:color w:val="auto"/>
                <w:kern w:val="0"/>
                <w:sz w:val="24"/>
                <w:szCs w:val="24"/>
                <w:highlight w:val="none"/>
              </w:rPr>
              <w:t>园区已建有一套完整的“雨污分流”排水系统。其中，雨水管网总长约1400m，内径0.4m，形成有效的输送网络</w:t>
            </w:r>
            <w:r>
              <w:rPr>
                <w:rFonts w:hint="eastAsia" w:cs="Times New Roman"/>
                <w:b w:val="0"/>
                <w:color w:val="auto"/>
                <w:kern w:val="0"/>
                <w:sz w:val="24"/>
                <w:szCs w:val="24"/>
                <w:highlight w:val="none"/>
                <w:lang w:eastAsia="zh-CN"/>
              </w:rPr>
              <w:t>，</w:t>
            </w:r>
            <w:r>
              <w:rPr>
                <w:rFonts w:hint="eastAsia" w:cs="Times New Roman"/>
                <w:b w:val="0"/>
                <w:color w:val="auto"/>
                <w:kern w:val="0"/>
                <w:sz w:val="24"/>
                <w:szCs w:val="24"/>
                <w:highlight w:val="none"/>
                <w:lang w:val="en-US" w:eastAsia="zh-CN"/>
              </w:rPr>
              <w:t>管网</w:t>
            </w:r>
            <w:r>
              <w:rPr>
                <w:rFonts w:hint="default" w:ascii="Times New Roman" w:hAnsi="Times New Roman" w:eastAsia="宋体" w:cs="Times New Roman"/>
                <w:b w:val="0"/>
                <w:color w:val="auto"/>
                <w:kern w:val="0"/>
                <w:sz w:val="24"/>
                <w:szCs w:val="24"/>
                <w:highlight w:val="none"/>
              </w:rPr>
              <w:t>已做好防渗防腐措施</w:t>
            </w:r>
            <w:r>
              <w:rPr>
                <w:rFonts w:hint="eastAsia" w:cs="Times New Roman"/>
                <w:b w:val="0"/>
                <w:color w:val="auto"/>
                <w:kern w:val="0"/>
                <w:sz w:val="24"/>
                <w:szCs w:val="24"/>
                <w:highlight w:val="none"/>
                <w:lang w:eastAsia="zh-CN"/>
              </w:rPr>
              <w:t>，</w:t>
            </w:r>
            <w:r>
              <w:rPr>
                <w:rFonts w:hint="default" w:ascii="Times New Roman" w:hAnsi="Times New Roman" w:eastAsia="宋体" w:cs="Times New Roman"/>
                <w:b w:val="0"/>
                <w:color w:val="auto"/>
                <w:kern w:val="0"/>
                <w:sz w:val="24"/>
                <w:szCs w:val="24"/>
                <w:highlight w:val="none"/>
              </w:rPr>
              <w:t>园区在雨水管网末端（排入外环境前）已设置截流阀，从系统上具备可行性。</w:t>
            </w:r>
            <w:r>
              <w:rPr>
                <w:rFonts w:hint="eastAsia" w:cs="Times New Roman"/>
                <w:b w:val="0"/>
                <w:color w:val="auto"/>
                <w:kern w:val="0"/>
                <w:sz w:val="24"/>
                <w:szCs w:val="24"/>
                <w:highlight w:val="none"/>
                <w:lang w:val="en-US" w:eastAsia="zh-CN"/>
              </w:rPr>
              <w:t>依托园区管网</w:t>
            </w:r>
            <w:r>
              <w:rPr>
                <w:rFonts w:hint="default" w:ascii="Times New Roman" w:hAnsi="Times New Roman" w:eastAsia="宋体" w:cs="Times New Roman"/>
                <w:b w:val="0"/>
                <w:color w:val="auto"/>
                <w:kern w:val="0"/>
                <w:sz w:val="24"/>
                <w:szCs w:val="24"/>
                <w:highlight w:val="none"/>
              </w:rPr>
              <w:t>的可靠性基于以下</w:t>
            </w:r>
            <w:r>
              <w:rPr>
                <w:rFonts w:hint="eastAsia" w:cs="Times New Roman"/>
                <w:b w:val="0"/>
                <w:color w:val="auto"/>
                <w:kern w:val="0"/>
                <w:sz w:val="24"/>
                <w:szCs w:val="24"/>
                <w:highlight w:val="none"/>
                <w:lang w:val="en-US" w:eastAsia="zh-CN"/>
              </w:rPr>
              <w:t>两</w:t>
            </w:r>
            <w:r>
              <w:rPr>
                <w:rFonts w:hint="default" w:ascii="Times New Roman" w:hAnsi="Times New Roman" w:eastAsia="宋体" w:cs="Times New Roman"/>
                <w:b w:val="0"/>
                <w:color w:val="auto"/>
                <w:kern w:val="0"/>
                <w:sz w:val="24"/>
                <w:szCs w:val="24"/>
                <w:highlight w:val="none"/>
              </w:rPr>
              <w:t>点：本项目雨水总排口已通过预留接口与园区主管网连通，事故废水可经此通道输送</w:t>
            </w:r>
            <w:r>
              <w:rPr>
                <w:rFonts w:hint="eastAsia" w:cs="Times New Roman"/>
                <w:b w:val="0"/>
                <w:color w:val="auto"/>
                <w:kern w:val="0"/>
                <w:sz w:val="24"/>
                <w:szCs w:val="24"/>
                <w:highlight w:val="none"/>
                <w:lang w:eastAsia="zh-CN"/>
              </w:rPr>
              <w:t>；</w:t>
            </w:r>
            <w:r>
              <w:rPr>
                <w:rFonts w:hint="default" w:ascii="Times New Roman" w:hAnsi="Times New Roman" w:eastAsia="宋体" w:cs="Times New Roman"/>
                <w:b w:val="0"/>
                <w:color w:val="auto"/>
                <w:kern w:val="0"/>
                <w:sz w:val="24"/>
                <w:szCs w:val="24"/>
                <w:highlight w:val="none"/>
              </w:rPr>
              <w:t>末端截流阀可</w:t>
            </w:r>
            <w:r>
              <w:rPr>
                <w:rFonts w:hint="eastAsia" w:cs="Times New Roman"/>
                <w:b w:val="0"/>
                <w:color w:val="auto"/>
                <w:kern w:val="0"/>
                <w:sz w:val="24"/>
                <w:szCs w:val="24"/>
                <w:highlight w:val="none"/>
                <w:lang w:val="en-US" w:eastAsia="zh-CN"/>
              </w:rPr>
              <w:t>实现</w:t>
            </w:r>
            <w:r>
              <w:rPr>
                <w:rFonts w:hint="default" w:ascii="Times New Roman" w:hAnsi="Times New Roman" w:eastAsia="宋体" w:cs="Times New Roman"/>
                <w:b w:val="0"/>
                <w:color w:val="auto"/>
                <w:kern w:val="0"/>
                <w:sz w:val="24"/>
                <w:szCs w:val="24"/>
                <w:highlight w:val="none"/>
              </w:rPr>
              <w:t>快速关闭，确保受污染水体被100%截留在管网系统内，不外泄至外环境。</w:t>
            </w:r>
          </w:p>
          <w:p w14:paraId="50555D88">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color w:val="auto"/>
                <w:kern w:val="0"/>
                <w:sz w:val="24"/>
                <w:szCs w:val="24"/>
                <w:highlight w:val="none"/>
              </w:rPr>
              <w:t>经计算</w:t>
            </w:r>
            <w:r>
              <w:rPr>
                <w:rFonts w:hint="eastAsia" w:ascii="Times New Roman" w:hAnsi="Times New Roman" w:eastAsia="宋体" w:cs="Times New Roman"/>
                <w:b w:val="0"/>
                <w:color w:val="auto"/>
                <w:kern w:val="0"/>
                <w:sz w:val="24"/>
                <w:szCs w:val="24"/>
                <w:highlight w:val="none"/>
                <w:lang w:eastAsia="zh-CN"/>
              </w:rPr>
              <w:t>，</w:t>
            </w:r>
            <w:r>
              <w:rPr>
                <w:rFonts w:hint="default" w:ascii="Times New Roman" w:hAnsi="Times New Roman" w:eastAsia="宋体" w:cs="Times New Roman"/>
                <w:b w:val="0"/>
                <w:color w:val="auto"/>
                <w:kern w:val="0"/>
                <w:sz w:val="24"/>
                <w:szCs w:val="24"/>
                <w:highlight w:val="none"/>
              </w:rPr>
              <w:t>企业应急事故废水最大量为</w:t>
            </w:r>
            <w:r>
              <w:rPr>
                <w:rFonts w:hint="eastAsia" w:ascii="Times New Roman" w:hAnsi="Times New Roman" w:eastAsia="宋体" w:cs="Times New Roman"/>
                <w:b w:val="0"/>
                <w:color w:val="auto"/>
                <w:kern w:val="0"/>
                <w:sz w:val="24"/>
                <w:szCs w:val="24"/>
                <w:highlight w:val="none"/>
                <w:lang w:val="en-US" w:eastAsia="zh-CN" w:bidi="ar-SA"/>
              </w:rPr>
              <w:t>12</w:t>
            </w:r>
            <w:r>
              <w:rPr>
                <w:rFonts w:hint="default" w:ascii="Times New Roman" w:hAnsi="Times New Roman" w:eastAsia="宋体" w:cs="Times New Roman"/>
                <w:b w:val="0"/>
                <w:color w:val="auto"/>
                <w:kern w:val="0"/>
                <w:sz w:val="24"/>
                <w:szCs w:val="24"/>
                <w:highlight w:val="none"/>
              </w:rPr>
              <w:t>m</w:t>
            </w:r>
            <w:r>
              <w:rPr>
                <w:rFonts w:hint="default" w:ascii="Times New Roman" w:hAnsi="Times New Roman" w:eastAsia="宋体" w:cs="Times New Roman"/>
                <w:b w:val="0"/>
                <w:color w:val="auto"/>
                <w:kern w:val="0"/>
                <w:sz w:val="24"/>
                <w:szCs w:val="24"/>
                <w:highlight w:val="none"/>
                <w:vertAlign w:val="superscript"/>
              </w:rPr>
              <w:t>3</w:t>
            </w:r>
            <w:r>
              <w:rPr>
                <w:rFonts w:hint="default" w:ascii="Times New Roman" w:hAnsi="Times New Roman" w:eastAsia="宋体" w:cs="Times New Roman"/>
                <w:b w:val="0"/>
                <w:color w:val="auto"/>
                <w:kern w:val="0"/>
                <w:sz w:val="24"/>
                <w:szCs w:val="24"/>
                <w:highlight w:val="none"/>
              </w:rPr>
              <w:t>，企业</w:t>
            </w:r>
            <w:r>
              <w:rPr>
                <w:rFonts w:hint="eastAsia" w:ascii="Times New Roman" w:hAnsi="Times New Roman" w:eastAsia="宋体" w:cs="Times New Roman"/>
                <w:b w:val="0"/>
                <w:color w:val="auto"/>
                <w:kern w:val="0"/>
                <w:sz w:val="24"/>
                <w:szCs w:val="24"/>
                <w:highlight w:val="none"/>
                <w:lang w:val="en-US" w:eastAsia="zh-CN"/>
              </w:rPr>
              <w:t>拟</w:t>
            </w:r>
            <w:r>
              <w:rPr>
                <w:rFonts w:hint="default" w:ascii="Times New Roman" w:hAnsi="Times New Roman" w:eastAsia="宋体" w:cs="Times New Roman"/>
                <w:b w:val="0"/>
                <w:color w:val="auto"/>
                <w:kern w:val="0"/>
                <w:sz w:val="24"/>
                <w:szCs w:val="24"/>
                <w:highlight w:val="none"/>
              </w:rPr>
              <w:t>设置</w:t>
            </w:r>
            <w:r>
              <w:rPr>
                <w:rFonts w:hint="eastAsia" w:ascii="Times New Roman" w:hAnsi="Times New Roman" w:eastAsia="宋体" w:cs="Times New Roman"/>
                <w:b w:val="0"/>
                <w:color w:val="auto"/>
                <w:kern w:val="0"/>
                <w:sz w:val="24"/>
                <w:szCs w:val="24"/>
                <w:highlight w:val="none"/>
                <w:lang w:val="en-US" w:eastAsia="zh-CN"/>
              </w:rPr>
              <w:t>的</w:t>
            </w:r>
            <w:r>
              <w:rPr>
                <w:rFonts w:hint="eastAsia" w:cs="Times New Roman"/>
                <w:b w:val="0"/>
                <w:color w:val="auto"/>
                <w:kern w:val="0"/>
                <w:sz w:val="24"/>
                <w:szCs w:val="24"/>
                <w:highlight w:val="none"/>
                <w:lang w:val="en-US" w:eastAsia="zh-CN"/>
              </w:rPr>
              <w:t>2</w:t>
            </w:r>
            <w:r>
              <w:rPr>
                <w:rFonts w:hint="default" w:ascii="Times New Roman" w:hAnsi="Times New Roman" w:eastAsia="宋体" w:cs="Times New Roman"/>
                <w:b w:val="0"/>
                <w:color w:val="auto"/>
                <w:kern w:val="0"/>
                <w:sz w:val="24"/>
                <w:szCs w:val="24"/>
                <w:highlight w:val="none"/>
              </w:rPr>
              <w:t>0m</w:t>
            </w:r>
            <w:r>
              <w:rPr>
                <w:rFonts w:hint="default" w:ascii="Times New Roman" w:hAnsi="Times New Roman" w:eastAsia="宋体" w:cs="Times New Roman"/>
                <w:b w:val="0"/>
                <w:color w:val="auto"/>
                <w:kern w:val="0"/>
                <w:sz w:val="24"/>
                <w:szCs w:val="24"/>
                <w:highlight w:val="none"/>
                <w:vertAlign w:val="superscript"/>
              </w:rPr>
              <w:t>3</w:t>
            </w:r>
            <w:r>
              <w:rPr>
                <w:rFonts w:hint="default" w:ascii="Times New Roman" w:hAnsi="Times New Roman" w:eastAsia="宋体" w:cs="Times New Roman"/>
                <w:b w:val="0"/>
                <w:color w:val="auto"/>
                <w:kern w:val="0"/>
                <w:sz w:val="24"/>
                <w:szCs w:val="24"/>
                <w:highlight w:val="none"/>
              </w:rPr>
              <w:t>事故应急</w:t>
            </w:r>
            <w:r>
              <w:rPr>
                <w:rFonts w:hint="eastAsia" w:cs="Times New Roman"/>
                <w:b w:val="0"/>
                <w:color w:val="auto"/>
                <w:kern w:val="0"/>
                <w:sz w:val="24"/>
                <w:szCs w:val="24"/>
                <w:highlight w:val="none"/>
                <w:lang w:val="en-US" w:eastAsia="zh-CN"/>
              </w:rPr>
              <w:t>桶</w:t>
            </w:r>
            <w:r>
              <w:rPr>
                <w:rFonts w:hint="eastAsia" w:ascii="Times New Roman" w:hAnsi="Times New Roman" w:eastAsia="宋体" w:cs="Times New Roman"/>
                <w:b w:val="0"/>
                <w:color w:val="auto"/>
                <w:kern w:val="0"/>
                <w:sz w:val="24"/>
                <w:szCs w:val="24"/>
                <w:highlight w:val="none"/>
                <w:lang w:eastAsia="zh-CN"/>
              </w:rPr>
              <w:t>（</w:t>
            </w:r>
            <w:r>
              <w:rPr>
                <w:rFonts w:hint="eastAsia" w:ascii="Times New Roman" w:hAnsi="Times New Roman" w:eastAsia="宋体" w:cs="Times New Roman"/>
                <w:b w:val="0"/>
                <w:color w:val="auto"/>
                <w:kern w:val="0"/>
                <w:sz w:val="24"/>
                <w:szCs w:val="24"/>
                <w:highlight w:val="none"/>
                <w:lang w:val="en-US" w:eastAsia="zh-CN"/>
              </w:rPr>
              <w:t>并设置</w:t>
            </w:r>
            <w:r>
              <w:rPr>
                <w:rFonts w:hint="eastAsia" w:cs="Times New Roman"/>
                <w:b w:val="0"/>
                <w:bCs w:val="0"/>
                <w:color w:val="auto"/>
                <w:sz w:val="24"/>
                <w:szCs w:val="24"/>
                <w:lang w:val="en-US" w:eastAsia="zh-CN"/>
              </w:rPr>
              <w:t>应急电源和应急泵</w:t>
            </w:r>
            <w:r>
              <w:rPr>
                <w:rFonts w:hint="eastAsia" w:ascii="Times New Roman" w:hAnsi="Times New Roman" w:eastAsia="宋体" w:cs="Times New Roman"/>
                <w:b w:val="0"/>
                <w:color w:val="auto"/>
                <w:kern w:val="0"/>
                <w:sz w:val="24"/>
                <w:szCs w:val="24"/>
                <w:highlight w:val="none"/>
                <w:lang w:val="en-US" w:eastAsia="zh-CN"/>
              </w:rPr>
              <w:t>），</w:t>
            </w:r>
            <w:r>
              <w:rPr>
                <w:rFonts w:hint="default" w:ascii="Times New Roman" w:hAnsi="Times New Roman" w:eastAsia="宋体" w:cs="Times New Roman"/>
                <w:b w:val="0"/>
                <w:color w:val="auto"/>
                <w:sz w:val="24"/>
                <w:szCs w:val="24"/>
                <w:highlight w:val="none"/>
                <w:lang w:val="en-US" w:eastAsia="zh-CN"/>
              </w:rPr>
              <w:t>用于事故状态下事故废水的收集，紧急情况下手动关闭雨水切换阀门，开启</w:t>
            </w:r>
            <w:r>
              <w:rPr>
                <w:rFonts w:hint="eastAsia" w:cs="Times New Roman"/>
                <w:b w:val="0"/>
                <w:color w:val="auto"/>
                <w:sz w:val="24"/>
                <w:szCs w:val="24"/>
                <w:highlight w:val="none"/>
                <w:lang w:val="en-US" w:eastAsia="zh-CN"/>
              </w:rPr>
              <w:t>应急桶配备的</w:t>
            </w:r>
            <w:r>
              <w:rPr>
                <w:rFonts w:hint="eastAsia" w:cs="Times New Roman"/>
                <w:b w:val="0"/>
                <w:bCs w:val="0"/>
                <w:color w:val="auto"/>
                <w:sz w:val="24"/>
                <w:szCs w:val="24"/>
                <w:lang w:val="en-US" w:eastAsia="zh-CN"/>
              </w:rPr>
              <w:t>应急电源和应急泵</w:t>
            </w:r>
            <w:r>
              <w:rPr>
                <w:rFonts w:hint="default" w:ascii="Times New Roman" w:hAnsi="Times New Roman" w:eastAsia="宋体" w:cs="Times New Roman"/>
                <w:b w:val="0"/>
                <w:color w:val="auto"/>
                <w:sz w:val="24"/>
                <w:szCs w:val="24"/>
                <w:highlight w:val="none"/>
                <w:lang w:val="en-US" w:eastAsia="zh-CN"/>
              </w:rPr>
              <w:t>，将事故废水收集于事故</w:t>
            </w:r>
            <w:r>
              <w:rPr>
                <w:rFonts w:hint="eastAsia" w:cs="Times New Roman"/>
                <w:b w:val="0"/>
                <w:color w:val="auto"/>
                <w:sz w:val="24"/>
                <w:szCs w:val="24"/>
                <w:highlight w:val="none"/>
                <w:lang w:val="en-US" w:eastAsia="zh-CN"/>
              </w:rPr>
              <w:t>桶</w:t>
            </w:r>
            <w:r>
              <w:rPr>
                <w:rFonts w:hint="default" w:ascii="Times New Roman" w:hAnsi="Times New Roman" w:eastAsia="宋体" w:cs="Times New Roman"/>
                <w:b w:val="0"/>
                <w:color w:val="auto"/>
                <w:sz w:val="24"/>
                <w:szCs w:val="24"/>
                <w:highlight w:val="none"/>
                <w:lang w:val="en-US" w:eastAsia="zh-CN"/>
              </w:rPr>
              <w:t>暂存</w:t>
            </w:r>
            <w:r>
              <w:rPr>
                <w:rFonts w:hint="default" w:ascii="Times New Roman" w:hAnsi="Times New Roman" w:eastAsia="宋体" w:cs="Times New Roman"/>
                <w:b w:val="0"/>
                <w:color w:val="auto"/>
                <w:sz w:val="24"/>
                <w:szCs w:val="24"/>
                <w:highlight w:val="none"/>
              </w:rPr>
              <w:t>。</w:t>
            </w:r>
            <w:r>
              <w:rPr>
                <w:rFonts w:hint="default" w:ascii="Times New Roman" w:hAnsi="Times New Roman" w:eastAsia="宋体" w:cs="Times New Roman"/>
                <w:b w:val="0"/>
                <w:color w:val="auto"/>
                <w:kern w:val="0"/>
                <w:sz w:val="24"/>
                <w:szCs w:val="24"/>
                <w:highlight w:val="none"/>
              </w:rPr>
              <w:t>通过完善消防废水收集、处理、排放系统，保证生产车间、仓库以及危废仓库发生火灾事故时，消防废水等能迅速、安全地集中到事故应急</w:t>
            </w:r>
            <w:r>
              <w:rPr>
                <w:rFonts w:hint="eastAsia" w:cs="Times New Roman"/>
                <w:b w:val="0"/>
                <w:color w:val="auto"/>
                <w:kern w:val="0"/>
                <w:sz w:val="24"/>
                <w:szCs w:val="24"/>
                <w:highlight w:val="none"/>
                <w:lang w:val="en-US" w:eastAsia="zh-CN"/>
              </w:rPr>
              <w:t>桶</w:t>
            </w:r>
            <w:r>
              <w:rPr>
                <w:rFonts w:hint="default" w:ascii="Times New Roman" w:hAnsi="Times New Roman" w:eastAsia="宋体" w:cs="Times New Roman"/>
                <w:b w:val="0"/>
                <w:color w:val="auto"/>
                <w:kern w:val="0"/>
                <w:sz w:val="24"/>
                <w:szCs w:val="24"/>
                <w:highlight w:val="none"/>
              </w:rPr>
              <w:t>，然后针对水质实际情况进行必要的处理，避免对评价范围内的周围农田和河流造成影响。</w:t>
            </w:r>
          </w:p>
          <w:p w14:paraId="0A433C76">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）三级防控体系</w:t>
            </w:r>
          </w:p>
          <w:p w14:paraId="2D38B554">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根据《建设项目环境风险评价技术导则》（HJ169-2018），事故废水环境风险防范采取“单元-厂区-园区/区域”的三级防控措施，杜绝环境风险事故造成污染事件，将环境风险事故排水及污染物控制在厂区内。</w:t>
            </w:r>
          </w:p>
          <w:p w14:paraId="62551A2C">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一级防控措施将污染物控制在生产区风险单元；二级防控是将污染物控制在厂区；三级防控将污染物控制在区域内，确保生产非正常状态下不发生污染事件。具体设计要求如下：</w:t>
            </w:r>
          </w:p>
          <w:p w14:paraId="01357C38">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A.一级防控：厂区生产车间地面防腐、防渗，防止泄漏污染地面；危废仓库内部地面防腐、防渗，设置托盘导流沟和收集槽等，一旦发生泄漏，泄漏物料可通过导流沟收集进入收集槽；厂区落实岗位责任制，生产期间各风险单元均需有工作人员进行巡视。</w:t>
            </w:r>
          </w:p>
          <w:p w14:paraId="68F1BC3E">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B.二级防控：</w:t>
            </w:r>
            <w:r>
              <w:rPr>
                <w:rFonts w:hint="eastAsia" w:cs="Times New Roman"/>
                <w:color w:val="auto"/>
                <w:sz w:val="24"/>
                <w:szCs w:val="24"/>
                <w:lang w:val="en-US" w:eastAsia="zh-CN"/>
              </w:rPr>
              <w:t>企业拟</w:t>
            </w:r>
            <w:r>
              <w:rPr>
                <w:rFonts w:hint="default" w:ascii="Times New Roman" w:hAnsi="Times New Roman" w:eastAsia="宋体" w:cs="Times New Roman"/>
                <w:color w:val="auto"/>
                <w:sz w:val="24"/>
                <w:szCs w:val="24"/>
                <w:lang w:val="en-US" w:eastAsia="zh-CN"/>
              </w:rPr>
              <w:t>建设1个</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的</w:t>
            </w:r>
            <w:r>
              <w:rPr>
                <w:rFonts w:hint="eastAsia" w:cs="Times New Roman"/>
                <w:color w:val="auto"/>
                <w:sz w:val="24"/>
                <w:szCs w:val="24"/>
                <w:lang w:val="en-US" w:eastAsia="zh-CN"/>
              </w:rPr>
              <w:t>事故应急桶</w:t>
            </w:r>
            <w:r>
              <w:rPr>
                <w:rFonts w:hint="default" w:ascii="Times New Roman" w:hAnsi="Times New Roman" w:eastAsia="宋体" w:cs="Times New Roman"/>
                <w:color w:val="auto"/>
                <w:sz w:val="24"/>
                <w:szCs w:val="24"/>
                <w:lang w:val="en-US" w:eastAsia="zh-CN"/>
              </w:rPr>
              <w:t>，能够满足事故状态下事故废水的收集。一旦发生事故，立即联系园区负责人关闭雨水阀门，打开</w:t>
            </w:r>
            <w:r>
              <w:rPr>
                <w:rFonts w:hint="eastAsia" w:cs="Times New Roman"/>
                <w:color w:val="auto"/>
                <w:sz w:val="24"/>
                <w:szCs w:val="24"/>
                <w:lang w:val="en-US" w:eastAsia="zh-CN"/>
              </w:rPr>
              <w:t>事故应急桶应急泵和应急电源</w:t>
            </w:r>
            <w:r>
              <w:rPr>
                <w:rFonts w:hint="default" w:ascii="Times New Roman" w:hAnsi="Times New Roman" w:eastAsia="宋体" w:cs="Times New Roman"/>
                <w:color w:val="auto"/>
                <w:sz w:val="24"/>
                <w:szCs w:val="24"/>
                <w:lang w:val="en-US" w:eastAsia="zh-CN"/>
              </w:rPr>
              <w:t>；消防废水、污染雨水、泄漏物料经雨水管网收集进入</w:t>
            </w:r>
            <w:r>
              <w:rPr>
                <w:rFonts w:hint="eastAsia" w:cs="Times New Roman"/>
                <w:color w:val="auto"/>
                <w:sz w:val="24"/>
                <w:szCs w:val="24"/>
                <w:lang w:val="en-US" w:eastAsia="zh-CN"/>
              </w:rPr>
              <w:t>事故应急桶</w:t>
            </w:r>
            <w:r>
              <w:rPr>
                <w:rFonts w:hint="default" w:ascii="Times New Roman" w:hAnsi="Times New Roman" w:eastAsia="宋体" w:cs="Times New Roman"/>
                <w:color w:val="auto"/>
                <w:sz w:val="24"/>
                <w:szCs w:val="24"/>
                <w:lang w:val="en-US" w:eastAsia="zh-CN"/>
              </w:rPr>
              <w:t>，利用与</w:t>
            </w:r>
            <w:r>
              <w:rPr>
                <w:rFonts w:hint="eastAsia" w:cs="Times New Roman"/>
                <w:color w:val="auto"/>
                <w:sz w:val="24"/>
                <w:szCs w:val="24"/>
                <w:lang w:val="en-US" w:eastAsia="zh-CN"/>
              </w:rPr>
              <w:t>事故应急池</w:t>
            </w:r>
            <w:r>
              <w:rPr>
                <w:rFonts w:hint="default" w:ascii="Times New Roman" w:hAnsi="Times New Roman" w:eastAsia="宋体" w:cs="Times New Roman"/>
                <w:color w:val="auto"/>
                <w:sz w:val="24"/>
                <w:szCs w:val="24"/>
                <w:lang w:val="en-US" w:eastAsia="zh-CN"/>
              </w:rPr>
              <w:t>连接的雨水管网使事故废水流入</w:t>
            </w:r>
            <w:r>
              <w:rPr>
                <w:rFonts w:hint="eastAsia" w:cs="Times New Roman"/>
                <w:color w:val="auto"/>
                <w:sz w:val="24"/>
                <w:szCs w:val="24"/>
                <w:lang w:val="en-US" w:eastAsia="zh-CN"/>
              </w:rPr>
              <w:t>事故应急桶</w:t>
            </w:r>
            <w:r>
              <w:rPr>
                <w:rFonts w:hint="default" w:ascii="Times New Roman" w:hAnsi="Times New Roman" w:eastAsia="宋体" w:cs="Times New Roman"/>
                <w:color w:val="auto"/>
                <w:sz w:val="24"/>
                <w:szCs w:val="24"/>
                <w:lang w:val="en-US" w:eastAsia="zh-CN"/>
              </w:rPr>
              <w:t>内，企业再根据事件消防水性质接污水管排放或委托有资质单位处理。</w:t>
            </w:r>
          </w:p>
          <w:p w14:paraId="66B95BBF">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C.三级防控：若未及时收集，消防废水或泄漏物料通过雨水管网流到厂外，立即关闭厂区雨水排放口阀门，同时上报企业应急管理机构，迅速向上级管理部门报告并请求外部增援。</w:t>
            </w:r>
          </w:p>
          <w:p w14:paraId="42FB6913">
            <w:pPr>
              <w:snapToGrid w:val="0"/>
              <w:ind w:firstLine="42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企业应急管理机构接到通知后第一时间携应急物资赶赴现场进行应急处置，同时寻求园区及外部互助单位援助，使用堵漏工具对厂区雨水排放口进行封堵，构筑围堤、造坑导流、挖坑收容，避免事故废水进入市政雨水管网；就地投加药剂处置，降低危险性；启动应急设施，收集事故废水，利用厂区及周边企业</w:t>
            </w:r>
            <w:r>
              <w:rPr>
                <w:rFonts w:hint="eastAsia" w:cs="Times New Roman"/>
                <w:color w:val="auto"/>
                <w:sz w:val="24"/>
                <w:szCs w:val="24"/>
                <w:lang w:val="en-US" w:eastAsia="zh-CN"/>
              </w:rPr>
              <w:t>事故应急池</w:t>
            </w:r>
            <w:r>
              <w:rPr>
                <w:rFonts w:hint="default" w:ascii="Times New Roman" w:hAnsi="Times New Roman" w:eastAsia="宋体" w:cs="Times New Roman"/>
                <w:color w:val="auto"/>
                <w:sz w:val="24"/>
                <w:szCs w:val="24"/>
                <w:lang w:val="en-US" w:eastAsia="zh-CN"/>
              </w:rPr>
              <w:t>、槽车或专用收集池等进行暂存。若事故废水不慎进入河流，相关管理部门应立即启动园区/区域环境风险防控措施：关闭关联河道闸阀；视情况在污染区上、下游使用拦污索或筑坝拦截污染物，阻隔污染物进一步扩散至附近水体；投加活性炭等吸附材料，就地投加药剂处置，或将污染水抽至安全地方处置。同时根据泄漏液特性进行泄漏液收集、开展河水上下游的水质监测。</w:t>
            </w:r>
          </w:p>
          <w:p w14:paraId="72D4F609">
            <w:pPr>
              <w:snapToGrid w:val="0"/>
              <w:ind w:firstLine="420"/>
              <w:rPr>
                <w:rFonts w:hint="eastAsia" w:cs="Times New Roman"/>
                <w:color w:val="auto"/>
                <w:lang w:val="en-US" w:eastAsia="zh-CN"/>
              </w:rPr>
            </w:pPr>
            <w:r>
              <w:rPr>
                <w:rFonts w:hint="default" w:ascii="Times New Roman" w:hAnsi="Times New Roman" w:eastAsia="宋体" w:cs="Times New Roman"/>
                <w:color w:val="auto"/>
                <w:sz w:val="24"/>
                <w:szCs w:val="24"/>
                <w:lang w:val="en-US" w:eastAsia="zh-CN"/>
              </w:rPr>
              <w:t>三级防控体系能确保事故状态下的泄漏物料、消防废水等全部处于受控状态，实现对事故废水源头、过程和终端的预防和控制，使环境风险可控，降低对厂区外界环境造成的影响。</w:t>
            </w:r>
            <w:r>
              <w:rPr>
                <w:rFonts w:hint="default" w:ascii="Times New Roman" w:hAnsi="Times New Roman" w:eastAsia="宋体" w:cs="Times New Roman"/>
                <w:color w:val="auto"/>
                <w:lang w:val="en-US" w:eastAsia="zh-CN"/>
              </w:rPr>
              <w:t xml:space="preserve"> </w:t>
            </w:r>
            <w:r>
              <w:rPr>
                <w:rFonts w:hint="eastAsia" w:cs="Times New Roman"/>
                <w:color w:val="auto"/>
                <w:lang w:val="en-US" w:eastAsia="zh-CN"/>
              </w:rPr>
              <w:t xml:space="preserve">    </w:t>
            </w:r>
          </w:p>
          <w:p w14:paraId="250CDF9F">
            <w:pPr>
              <w:numPr>
                <w:ilvl w:val="0"/>
                <w:numId w:val="5"/>
              </w:numPr>
              <w:snapToGrid w:val="0"/>
              <w:ind w:firstLine="42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与园区环境风险防范措施的衔接要求</w:t>
            </w:r>
          </w:p>
          <w:p w14:paraId="3979A0B7">
            <w:pPr>
              <w:numPr>
                <w:ilvl w:val="0"/>
                <w:numId w:val="0"/>
              </w:numPr>
              <w:snapToGrid w:val="0"/>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层级响应原则：企业负责内部（厂级）的应急响应；当事件超出企业控制能力时，立即上报并启动园区级响应</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严禁迟报、谎报、瞒报；事态进一步扩大时，启动区域/市级响应。</w:t>
            </w:r>
          </w:p>
          <w:p w14:paraId="132FDA3F">
            <w:pPr>
              <w:snapToGrid w:val="0"/>
              <w:ind w:firstLine="42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信息互通原则：企业与园区管理层之间必须建立畅通、及时的信息通报机制。</w:t>
            </w:r>
          </w:p>
          <w:p w14:paraId="7C3C1BA4">
            <w:pPr>
              <w:snapToGrid w:val="0"/>
              <w:ind w:firstLine="42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资源共享原则：企业的应急资源应纳入园区应急资源数据库，并与园区及其他企业实现共享与互补。</w:t>
            </w:r>
            <w:r>
              <w:rPr>
                <w:rFonts w:hint="eastAsia" w:ascii="Times New Roman" w:hAnsi="Times New Roman" w:eastAsia="宋体" w:cs="Times New Roman"/>
                <w:color w:val="auto"/>
                <w:sz w:val="24"/>
                <w:szCs w:val="24"/>
                <w:lang w:val="en-US" w:eastAsia="zh-CN"/>
              </w:rPr>
              <w:t>企业</w:t>
            </w:r>
            <w:r>
              <w:rPr>
                <w:rFonts w:hint="eastAsia" w:ascii="Times New Roman" w:hAnsi="Times New Roman" w:eastAsia="宋体" w:cs="Times New Roman"/>
                <w:color w:val="auto"/>
                <w:sz w:val="24"/>
                <w:szCs w:val="24"/>
              </w:rPr>
              <w:t>配备满足初期的应急物资（堵漏器材、吸油毡、灭火器、个人防护装备等）。企业应将自有应急物资库的类型、数量、位置等信息报备给园区，了解园区级应急物资库的位置和调用流程，在自身资源不足时能快速申请支援。</w:t>
            </w:r>
          </w:p>
          <w:p w14:paraId="0AAFB3B2">
            <w:pPr>
              <w:snapToGrid w:val="0"/>
              <w:ind w:firstLine="42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rPr>
              <w:t>统一指挥原则：一旦启动园区级应急响应，现场指挥权应移交至园区应急指挥中心，企业应急指挥组转为配合与执行单位。</w:t>
            </w:r>
            <w:r>
              <w:rPr>
                <w:rFonts w:hint="default" w:ascii="Times New Roman" w:hAnsi="Times New Roman" w:eastAsia="宋体" w:cs="Times New Roman"/>
                <w:color w:val="auto"/>
                <w:sz w:val="24"/>
                <w:szCs w:val="24"/>
                <w:lang w:val="en-US" w:eastAsia="zh-CN"/>
              </w:rPr>
              <w:t xml:space="preserve">  </w:t>
            </w:r>
          </w:p>
          <w:p w14:paraId="140EA460">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7.5环境应急管理制度</w:t>
            </w:r>
          </w:p>
          <w:p w14:paraId="0A39F108">
            <w:pPr>
              <w:pStyle w:val="378"/>
              <w:keepNext w:val="0"/>
              <w:keepLines w:val="0"/>
              <w:pageBreakBefore w:val="0"/>
              <w:widowControl w:val="0"/>
              <w:kinsoku/>
              <w:wordWrap/>
              <w:overflowPunct/>
              <w:topLinePunct w:val="0"/>
              <w:autoSpaceDE/>
              <w:autoSpaceDN/>
              <w:bidi w:val="0"/>
              <w:adjustRightInd w:val="0"/>
              <w:snapToGrid w:val="0"/>
              <w:ind w:firstLine="482"/>
              <w:textAlignment w:val="auto"/>
              <w:rPr>
                <w:rFonts w:hint="default" w:ascii="Times New Roman" w:hAnsi="Times New Roman" w:eastAsia="宋体" w:cs="Times New Roman"/>
                <w:b/>
                <w:smallCaps w:val="0"/>
                <w:color w:val="auto"/>
                <w:spacing w:val="0"/>
                <w:kern w:val="0"/>
                <w:sz w:val="21"/>
                <w:szCs w:val="21"/>
                <w:lang w:val="en-US" w:eastAsia="zh-CN" w:bidi="ar-SA"/>
              </w:rPr>
            </w:pPr>
            <w:r>
              <w:rPr>
                <w:rFonts w:hint="default" w:ascii="Times New Roman" w:hAnsi="Times New Roman" w:eastAsia="宋体" w:cs="Times New Roman"/>
                <w:b/>
                <w:smallCaps w:val="0"/>
                <w:color w:val="auto"/>
                <w:spacing w:val="0"/>
                <w:kern w:val="0"/>
                <w:sz w:val="21"/>
                <w:szCs w:val="21"/>
                <w:lang w:val="en-US" w:eastAsia="zh-CN" w:bidi="ar-SA"/>
              </w:rPr>
              <w:t>表4.7-4 建设项目环境风险简单分析内容表</w:t>
            </w:r>
          </w:p>
          <w:tbl>
            <w:tblPr>
              <w:tblStyle w:val="4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137"/>
              <w:gridCol w:w="1628"/>
              <w:gridCol w:w="1790"/>
              <w:gridCol w:w="1790"/>
              <w:gridCol w:w="2228"/>
            </w:tblGrid>
            <w:tr w14:paraId="0A0CD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861" w:type="dxa"/>
                  <w:noWrap w:val="0"/>
                  <w:vAlign w:val="center"/>
                </w:tcPr>
                <w:p w14:paraId="00CB3636">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建设项目名称</w:t>
                  </w:r>
                </w:p>
              </w:tc>
              <w:tc>
                <w:tcPr>
                  <w:tcW w:w="6476" w:type="dxa"/>
                  <w:gridSpan w:val="4"/>
                  <w:noWrap w:val="0"/>
                  <w:vAlign w:val="center"/>
                </w:tcPr>
                <w:p w14:paraId="02D5BDF5">
                  <w:pPr>
                    <w:pStyle w:val="379"/>
                    <w:rPr>
                      <w:rFonts w:hint="default" w:ascii="Times New Roman" w:hAnsi="Times New Roman" w:eastAsia="宋体" w:cs="Times New Roman"/>
                      <w:color w:val="auto"/>
                      <w:spacing w:val="0"/>
                      <w:kern w:val="0"/>
                      <w:sz w:val="21"/>
                      <w:szCs w:val="21"/>
                      <w:lang w:eastAsia="zh-CN"/>
                    </w:rPr>
                  </w:pPr>
                  <w:r>
                    <w:rPr>
                      <w:rFonts w:hint="default" w:ascii="Times New Roman" w:hAnsi="Times New Roman" w:eastAsia="宋体" w:cs="Times New Roman"/>
                      <w:color w:val="auto"/>
                      <w:spacing w:val="0"/>
                      <w:kern w:val="0"/>
                      <w:sz w:val="21"/>
                      <w:szCs w:val="21"/>
                      <w:lang w:eastAsia="zh-CN"/>
                    </w:rPr>
                    <w:t>斐洋船舶配件（常州）有限公司</w:t>
                  </w:r>
                </w:p>
              </w:tc>
            </w:tr>
            <w:tr w14:paraId="666EF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47" w:hRule="atLeast"/>
                <w:jc w:val="center"/>
              </w:trPr>
              <w:tc>
                <w:tcPr>
                  <w:tcW w:w="1861" w:type="dxa"/>
                  <w:noWrap w:val="0"/>
                  <w:vAlign w:val="center"/>
                </w:tcPr>
                <w:p w14:paraId="4CC6A70E">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建设地点</w:t>
                  </w:r>
                </w:p>
              </w:tc>
              <w:tc>
                <w:tcPr>
                  <w:tcW w:w="6476" w:type="dxa"/>
                  <w:gridSpan w:val="4"/>
                  <w:noWrap w:val="0"/>
                  <w:vAlign w:val="center"/>
                </w:tcPr>
                <w:p w14:paraId="036706CC">
                  <w:pPr>
                    <w:pStyle w:val="379"/>
                    <w:rPr>
                      <w:rFonts w:hint="default" w:ascii="Times New Roman" w:hAnsi="Times New Roman" w:eastAsia="宋体" w:cs="Times New Roman"/>
                      <w:color w:val="auto"/>
                      <w:spacing w:val="0"/>
                      <w:kern w:val="0"/>
                      <w:sz w:val="21"/>
                      <w:szCs w:val="21"/>
                      <w:lang w:eastAsia="zh-CN"/>
                    </w:rPr>
                  </w:pPr>
                  <w:r>
                    <w:rPr>
                      <w:rFonts w:hint="default" w:ascii="Times New Roman" w:hAnsi="Times New Roman" w:eastAsia="宋体" w:cs="Times New Roman"/>
                      <w:color w:val="auto"/>
                      <w:spacing w:val="0"/>
                      <w:kern w:val="0"/>
                      <w:sz w:val="21"/>
                      <w:szCs w:val="21"/>
                      <w:lang w:eastAsia="zh-CN"/>
                    </w:rPr>
                    <w:t xml:space="preserve">江苏省常州市金坛区儒林镇儒园路1号-金桂园1幢  </w:t>
                  </w:r>
                </w:p>
              </w:tc>
            </w:tr>
            <w:tr w14:paraId="5C612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861" w:type="dxa"/>
                  <w:noWrap w:val="0"/>
                  <w:vAlign w:val="center"/>
                </w:tcPr>
                <w:p w14:paraId="629C93C5">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地理坐标</w:t>
                  </w:r>
                </w:p>
              </w:tc>
              <w:tc>
                <w:tcPr>
                  <w:tcW w:w="1418" w:type="dxa"/>
                  <w:noWrap w:val="0"/>
                  <w:vAlign w:val="center"/>
                </w:tcPr>
                <w:p w14:paraId="1BDEF633">
                  <w:pPr>
                    <w:pStyle w:val="379"/>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经度</w:t>
                  </w:r>
                </w:p>
              </w:tc>
              <w:tc>
                <w:tcPr>
                  <w:tcW w:w="1559" w:type="dxa"/>
                  <w:noWrap w:val="0"/>
                  <w:vAlign w:val="center"/>
                </w:tcPr>
                <w:p w14:paraId="09599428">
                  <w:pPr>
                    <w:pStyle w:val="379"/>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119°39′45.655″</w:t>
                  </w:r>
                </w:p>
              </w:tc>
              <w:tc>
                <w:tcPr>
                  <w:tcW w:w="1559" w:type="dxa"/>
                  <w:noWrap w:val="0"/>
                  <w:vAlign w:val="center"/>
                </w:tcPr>
                <w:p w14:paraId="245D9344">
                  <w:pPr>
                    <w:pStyle w:val="379"/>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纬度</w:t>
                  </w:r>
                </w:p>
              </w:tc>
              <w:tc>
                <w:tcPr>
                  <w:tcW w:w="1940" w:type="dxa"/>
                  <w:noWrap w:val="0"/>
                  <w:vAlign w:val="center"/>
                </w:tcPr>
                <w:p w14:paraId="6B4B938C">
                  <w:pPr>
                    <w:pStyle w:val="379"/>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31°37′32.304″</w:t>
                  </w:r>
                </w:p>
              </w:tc>
            </w:tr>
            <w:tr w14:paraId="14B4B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861" w:type="dxa"/>
                  <w:noWrap w:val="0"/>
                  <w:vAlign w:val="center"/>
                </w:tcPr>
                <w:p w14:paraId="311ECA96">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主要危险物质及分布</w:t>
                  </w:r>
                </w:p>
              </w:tc>
              <w:tc>
                <w:tcPr>
                  <w:tcW w:w="6476" w:type="dxa"/>
                  <w:gridSpan w:val="4"/>
                  <w:noWrap w:val="0"/>
                  <w:vAlign w:val="center"/>
                </w:tcPr>
                <w:p w14:paraId="128DE326">
                  <w:pPr>
                    <w:pStyle w:val="379"/>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本项目主要危险物质为危废</w:t>
                  </w:r>
                  <w:r>
                    <w:rPr>
                      <w:rFonts w:hint="default" w:ascii="Times New Roman" w:hAnsi="Times New Roman" w:eastAsia="宋体" w:cs="Times New Roman"/>
                      <w:color w:val="auto"/>
                      <w:spacing w:val="0"/>
                      <w:kern w:val="0"/>
                      <w:sz w:val="21"/>
                      <w:szCs w:val="21"/>
                      <w:lang w:val="en-US" w:eastAsia="zh-CN"/>
                    </w:rPr>
                    <w:t>、液态原辅料</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危废分类贮存于危废仓库</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lang w:val="en-US" w:eastAsia="zh-CN"/>
                    </w:rPr>
                    <w:t>危险废物主要为冷却废液</w:t>
                  </w:r>
                  <w:r>
                    <w:rPr>
                      <w:rFonts w:hint="eastAsia" w:cs="Times New Roman"/>
                      <w:color w:val="auto"/>
                      <w:spacing w:val="0"/>
                      <w:kern w:val="0"/>
                      <w:sz w:val="21"/>
                      <w:szCs w:val="21"/>
                      <w:lang w:val="en-US" w:eastAsia="zh-CN"/>
                    </w:rPr>
                    <w:t>、</w:t>
                  </w:r>
                  <w:r>
                    <w:rPr>
                      <w:rFonts w:hint="default" w:ascii="Times New Roman" w:hAnsi="Times New Roman" w:eastAsia="宋体" w:cs="Times New Roman"/>
                      <w:color w:val="auto"/>
                      <w:spacing w:val="0"/>
                      <w:kern w:val="0"/>
                      <w:sz w:val="21"/>
                      <w:szCs w:val="21"/>
                      <w:lang w:val="en-US" w:eastAsia="zh-CN"/>
                    </w:rPr>
                    <w:t>废齿轮油、废包装桶、废抹布手套、废活性炭</w:t>
                  </w:r>
                  <w:r>
                    <w:rPr>
                      <w:rFonts w:hint="eastAsia" w:cs="Times New Roman"/>
                      <w:color w:val="auto"/>
                      <w:spacing w:val="0"/>
                      <w:kern w:val="0"/>
                      <w:sz w:val="21"/>
                      <w:szCs w:val="21"/>
                      <w:lang w:val="en-US" w:eastAsia="zh-CN"/>
                    </w:rPr>
                    <w:t>、沾染大豆油的废布袋、油泥</w:t>
                  </w:r>
                  <w:r>
                    <w:rPr>
                      <w:rFonts w:hint="default" w:ascii="Times New Roman" w:hAnsi="Times New Roman" w:eastAsia="宋体" w:cs="Times New Roman"/>
                      <w:color w:val="auto"/>
                      <w:spacing w:val="0"/>
                      <w:kern w:val="0"/>
                      <w:sz w:val="21"/>
                      <w:szCs w:val="21"/>
                      <w:lang w:val="en-US" w:eastAsia="zh-CN"/>
                    </w:rPr>
                    <w:t>；原辅料液态主要为ESO、齿轮油；废气设施的二级活性炭吸附装置。</w:t>
                  </w:r>
                </w:p>
              </w:tc>
            </w:tr>
            <w:tr w14:paraId="77C23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861" w:type="dxa"/>
                  <w:noWrap w:val="0"/>
                  <w:vAlign w:val="center"/>
                </w:tcPr>
                <w:p w14:paraId="39F83441">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环境影响途径及危害后果</w:t>
                  </w:r>
                  <w:r>
                    <w:rPr>
                      <w:rFonts w:hint="default" w:ascii="Times New Roman" w:hAnsi="Times New Roman" w:eastAsia="宋体" w:cs="Times New Roman"/>
                      <w:b/>
                      <w:color w:val="auto"/>
                      <w:spacing w:val="0"/>
                      <w:kern w:val="0"/>
                      <w:sz w:val="21"/>
                      <w:szCs w:val="21"/>
                      <w:lang w:eastAsia="zh-CN"/>
                    </w:rPr>
                    <w:t>（</w:t>
                  </w:r>
                  <w:r>
                    <w:rPr>
                      <w:rFonts w:hint="default" w:ascii="Times New Roman" w:hAnsi="Times New Roman" w:eastAsia="宋体" w:cs="Times New Roman"/>
                      <w:b/>
                      <w:color w:val="auto"/>
                      <w:spacing w:val="0"/>
                      <w:kern w:val="0"/>
                      <w:sz w:val="21"/>
                      <w:szCs w:val="21"/>
                    </w:rPr>
                    <w:t>大气、地表水、地下水等</w:t>
                  </w:r>
                  <w:r>
                    <w:rPr>
                      <w:rFonts w:hint="default" w:ascii="Times New Roman" w:hAnsi="Times New Roman" w:eastAsia="宋体" w:cs="Times New Roman"/>
                      <w:b/>
                      <w:color w:val="auto"/>
                      <w:spacing w:val="0"/>
                      <w:kern w:val="0"/>
                      <w:sz w:val="21"/>
                      <w:szCs w:val="21"/>
                      <w:lang w:eastAsia="zh-CN"/>
                    </w:rPr>
                    <w:t>）</w:t>
                  </w:r>
                </w:p>
              </w:tc>
              <w:tc>
                <w:tcPr>
                  <w:tcW w:w="6476" w:type="dxa"/>
                  <w:gridSpan w:val="4"/>
                  <w:noWrap w:val="0"/>
                  <w:vAlign w:val="center"/>
                </w:tcPr>
                <w:p w14:paraId="7AA3D941">
                  <w:pPr>
                    <w:pStyle w:val="379"/>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存在一定程度的火灾和泄漏风险。</w:t>
                  </w:r>
                </w:p>
              </w:tc>
            </w:tr>
            <w:tr w14:paraId="5AE08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861" w:type="dxa"/>
                  <w:noWrap w:val="0"/>
                  <w:vAlign w:val="center"/>
                </w:tcPr>
                <w:p w14:paraId="4732EBB4">
                  <w:pPr>
                    <w:pStyle w:val="379"/>
                    <w:rPr>
                      <w:rFonts w:hint="default" w:ascii="Times New Roman" w:hAnsi="Times New Roman" w:eastAsia="宋体" w:cs="Times New Roman"/>
                      <w:b/>
                      <w:color w:val="auto"/>
                      <w:spacing w:val="0"/>
                      <w:kern w:val="0"/>
                      <w:sz w:val="21"/>
                      <w:szCs w:val="21"/>
                    </w:rPr>
                  </w:pPr>
                  <w:r>
                    <w:rPr>
                      <w:rFonts w:hint="default" w:ascii="Times New Roman" w:hAnsi="Times New Roman" w:eastAsia="宋体" w:cs="Times New Roman"/>
                      <w:b/>
                      <w:color w:val="auto"/>
                      <w:spacing w:val="0"/>
                      <w:kern w:val="0"/>
                      <w:sz w:val="21"/>
                      <w:szCs w:val="21"/>
                    </w:rPr>
                    <w:t>风险防范措施要求</w:t>
                  </w:r>
                </w:p>
              </w:tc>
              <w:tc>
                <w:tcPr>
                  <w:tcW w:w="6476" w:type="dxa"/>
                  <w:gridSpan w:val="4"/>
                  <w:noWrap w:val="0"/>
                  <w:vAlign w:val="center"/>
                </w:tcPr>
                <w:p w14:paraId="6E786526">
                  <w:pPr>
                    <w:pStyle w:val="379"/>
                    <w:jc w:val="left"/>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①危废暂存场应防爆装置、防渗漏、防流失、防扬散；加强现场管理，消除跑、冒、滴、漏；建立健全安全规程及值勤制度，设置通讯、报警装置，确保其处于完好状态，设置专人定期检查原辅料区及危废暂存场的暂存情况；定期检查厂内各风险防范措施的完善情况，设置应急物资，建立健全应急防范机制。危废暂存场设置托盘，当泄漏事故发生时，收集至托盘内暂存，最终作为危险废物处理。危废暂存场应配备吸附剂等材料，防止发生事故时能对事故进行应急处理。</w:t>
                  </w:r>
                </w:p>
                <w:p w14:paraId="5E553DD0">
                  <w:pPr>
                    <w:pStyle w:val="379"/>
                    <w:jc w:val="left"/>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②</w:t>
                  </w:r>
                  <w:r>
                    <w:rPr>
                      <w:rFonts w:hint="default" w:ascii="Times New Roman" w:hAnsi="Times New Roman" w:eastAsia="宋体" w:cs="Times New Roman"/>
                      <w:color w:val="auto"/>
                      <w:spacing w:val="0"/>
                      <w:kern w:val="0"/>
                      <w:sz w:val="21"/>
                      <w:szCs w:val="21"/>
                      <w:lang w:val="en-US" w:eastAsia="zh-CN"/>
                    </w:rPr>
                    <w:t>污水站</w:t>
                  </w:r>
                  <w:r>
                    <w:rPr>
                      <w:rFonts w:hint="default" w:ascii="Times New Roman" w:hAnsi="Times New Roman" w:eastAsia="宋体" w:cs="Times New Roman"/>
                      <w:color w:val="auto"/>
                      <w:spacing w:val="0"/>
                      <w:kern w:val="0"/>
                      <w:sz w:val="21"/>
                      <w:szCs w:val="21"/>
                    </w:rPr>
                    <w:t>对其地面做好硬化防护、防渗防漏处理，防止</w:t>
                  </w:r>
                  <w:r>
                    <w:rPr>
                      <w:rFonts w:hint="default" w:ascii="Times New Roman" w:hAnsi="Times New Roman" w:eastAsia="宋体" w:cs="Times New Roman"/>
                      <w:color w:val="auto"/>
                      <w:spacing w:val="0"/>
                      <w:kern w:val="0"/>
                      <w:sz w:val="21"/>
                      <w:szCs w:val="21"/>
                      <w:lang w:eastAsia="zh-CN"/>
                    </w:rPr>
                    <w:t>泄漏</w:t>
                  </w:r>
                  <w:r>
                    <w:rPr>
                      <w:rFonts w:hint="default" w:ascii="Times New Roman" w:hAnsi="Times New Roman" w:eastAsia="宋体" w:cs="Times New Roman"/>
                      <w:color w:val="auto"/>
                      <w:spacing w:val="0"/>
                      <w:kern w:val="0"/>
                      <w:sz w:val="21"/>
                      <w:szCs w:val="21"/>
                    </w:rPr>
                    <w:t>发生，污染土壤和地下水。</w:t>
                  </w:r>
                  <w:r>
                    <w:rPr>
                      <w:rFonts w:hint="default" w:ascii="Times New Roman" w:hAnsi="Times New Roman" w:eastAsia="宋体" w:cs="Times New Roman"/>
                      <w:color w:val="auto"/>
                      <w:spacing w:val="0"/>
                      <w:kern w:val="0"/>
                      <w:sz w:val="21"/>
                      <w:szCs w:val="21"/>
                      <w:lang w:val="en-US" w:eastAsia="zh-CN"/>
                    </w:rPr>
                    <w:t>污水站</w:t>
                  </w:r>
                  <w:r>
                    <w:rPr>
                      <w:rFonts w:hint="default" w:ascii="Times New Roman" w:hAnsi="Times New Roman" w:eastAsia="宋体" w:cs="Times New Roman"/>
                      <w:color w:val="auto"/>
                      <w:spacing w:val="0"/>
                      <w:kern w:val="0"/>
                      <w:sz w:val="21"/>
                      <w:szCs w:val="21"/>
                    </w:rPr>
                    <w:t>避免跑冒滴漏，现场配备抹布进行及时擦拭，避免对其他地方进行污染。</w:t>
                  </w:r>
                </w:p>
                <w:p w14:paraId="26253452">
                  <w:pPr>
                    <w:pStyle w:val="379"/>
                    <w:jc w:val="left"/>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③生产车间配备吸附剂等材料，对泄漏事故进行应急处理。</w:t>
                  </w:r>
                </w:p>
                <w:p w14:paraId="10773FBD">
                  <w:pPr>
                    <w:pStyle w:val="379"/>
                    <w:jc w:val="left"/>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④对存放液体原辅料的存放区地面做防渗放漏处理，并设置溢流围堰，且设置专人定期对存放情况进行检查是否有滴漏破损；</w:t>
                  </w:r>
                </w:p>
                <w:p w14:paraId="505E8D54">
                  <w:pPr>
                    <w:pStyle w:val="379"/>
                    <w:jc w:val="left"/>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⑤</w:t>
                  </w:r>
                  <w:r>
                    <w:rPr>
                      <w:rFonts w:hint="default" w:ascii="Times New Roman" w:hAnsi="Times New Roman" w:eastAsia="宋体" w:cs="Times New Roman"/>
                      <w:color w:val="auto"/>
                      <w:spacing w:val="0"/>
                      <w:kern w:val="0"/>
                      <w:sz w:val="21"/>
                      <w:szCs w:val="21"/>
                      <w:lang w:val="en-US" w:eastAsia="zh-CN"/>
                    </w:rPr>
                    <w:t>园区</w:t>
                  </w:r>
                  <w:r>
                    <w:rPr>
                      <w:rFonts w:hint="default" w:ascii="Times New Roman" w:hAnsi="Times New Roman" w:eastAsia="宋体" w:cs="Times New Roman"/>
                      <w:color w:val="auto"/>
                      <w:spacing w:val="0"/>
                      <w:kern w:val="0"/>
                      <w:sz w:val="21"/>
                      <w:szCs w:val="21"/>
                    </w:rPr>
                    <w:t>内设置规范化雨水排放口（配套截流阀），设置专人定期检查截流阀启闭情况，确保发生事故时截流阀能正常工作；</w:t>
                  </w:r>
                </w:p>
              </w:tc>
            </w:tr>
            <w:tr w14:paraId="3AFDA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8337" w:type="dxa"/>
                  <w:gridSpan w:val="5"/>
                  <w:noWrap w:val="0"/>
                  <w:vAlign w:val="center"/>
                </w:tcPr>
                <w:p w14:paraId="41524441">
                  <w:pPr>
                    <w:pStyle w:val="379"/>
                    <w:jc w:val="left"/>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填表说明（列出项目相关信息及评价说明）</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本项目危废存在一定的危险性</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其Q值小于1</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环境风险潜势为Ⅰ</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对环境风险开展简单分析。本项目采取完善化学品仓库管理制度的风险防范措施是有效的</w:t>
                  </w:r>
                  <w:r>
                    <w:rPr>
                      <w:rFonts w:hint="default" w:ascii="Times New Roman" w:hAnsi="Times New Roman" w:eastAsia="宋体"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环境风险能够接受。</w:t>
                  </w:r>
                </w:p>
              </w:tc>
            </w:tr>
          </w:tbl>
          <w:p w14:paraId="7303D433">
            <w:pPr>
              <w:ind w:firstLine="42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①突发环境事件应急预案</w:t>
            </w:r>
          </w:p>
          <w:p w14:paraId="4852C6DD">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本项目建成后，建设单</w:t>
            </w:r>
            <w:r>
              <w:rPr>
                <w:rFonts w:hint="default" w:ascii="Times New Roman" w:hAnsi="Times New Roman" w:eastAsia="宋体" w:cs="Times New Roman"/>
                <w:color w:val="auto"/>
                <w:sz w:val="24"/>
                <w:szCs w:val="24"/>
                <w:lang w:eastAsia="zh-CN"/>
              </w:rPr>
              <w:t>位在</w:t>
            </w:r>
            <w:r>
              <w:rPr>
                <w:rFonts w:hint="default" w:ascii="Times New Roman" w:hAnsi="Times New Roman" w:eastAsia="宋体" w:cs="Times New Roman"/>
                <w:color w:val="auto"/>
                <w:sz w:val="24"/>
                <w:szCs w:val="24"/>
              </w:rPr>
              <w:t>试生产前须按照江苏省地方标准《企事业单位和工业园区突发环境事件应急预案编制导则（DB32/3795-2020）》的要求编制环境风险事故应急预案，并定期组织学习事故应急预案和演练，根据演习情况结合实际对预案进行适当修改。应急队伍要进行专业培训，并要有培训记录和档案。同时，加强各应急救援专业队伍的建设，配有相应器材并确保设备性能完好。一旦风险事故发生，立即启动应急预案，应急指挥系统就位，保证通讯畅通，深入现场，迅速准确报警和通知相关部门，请求应急救援，防止事故扩大，迅速遏制泄漏物进入环境。</w:t>
            </w:r>
          </w:p>
          <w:p w14:paraId="656CD47B">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本项目的应急预案应与</w:t>
            </w:r>
            <w:r>
              <w:rPr>
                <w:rFonts w:hint="default" w:ascii="Times New Roman" w:hAnsi="Times New Roman" w:eastAsia="宋体" w:cs="Times New Roman"/>
                <w:color w:val="auto"/>
                <w:sz w:val="24"/>
                <w:szCs w:val="24"/>
                <w:lang w:val="en-US" w:eastAsia="zh-CN"/>
              </w:rPr>
              <w:t>金坛区</w:t>
            </w:r>
            <w:r>
              <w:rPr>
                <w:rFonts w:hint="default" w:ascii="Times New Roman" w:hAnsi="Times New Roman" w:eastAsia="宋体" w:cs="Times New Roman"/>
                <w:color w:val="auto"/>
                <w:sz w:val="24"/>
                <w:szCs w:val="24"/>
              </w:rPr>
              <w:t>突发环境事故应急预案相联动，按照“企业自救、属地为主”的原则，一旦发生环境污染事故，企业可立即进行自救，采取一切措施控制事态发展，并及时向地方人民政府报告，超出本企业应急处理能力时，应启动上一级预案，由地方政府动用社会应急救援力量，实行分级管理、分级响应和联动，充分发挥地方政府职能作用和各部门的专业优势，加强各部门的协同和合作，提高快速应对能力。</w:t>
            </w:r>
          </w:p>
          <w:p w14:paraId="66B96EF1">
            <w:pPr>
              <w:ind w:firstLine="42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②应急监测计划</w:t>
            </w:r>
          </w:p>
          <w:p w14:paraId="573E3715">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环境事件时，应急响应机构应迅速通知环境检测机构相关监测人员赶赴现场，根据事件的实际情况，迅速确定监测方案，及时开展应急监测工作，在尽可能短的时间内作出判断，以便对事件及时正确进行处理。</w:t>
            </w:r>
          </w:p>
          <w:p w14:paraId="7FFC4DA5">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事故发生后，应针对不同事故类型，因地制宜开展应急监测，监测频次可根据事故持续时间等确定：</w:t>
            </w:r>
          </w:p>
          <w:p w14:paraId="655F5FD4">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烟气处理系统事故故障：可对烟气排气筒各排放因子进行监测。并设置厂界无组织废气监控点，监测颗粒物、非甲烷总烃</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氯乙烯、氯化氢等</w:t>
            </w:r>
            <w:r>
              <w:rPr>
                <w:rFonts w:hint="default" w:ascii="Times New Roman" w:hAnsi="Times New Roman" w:eastAsia="宋体" w:cs="Times New Roman"/>
                <w:color w:val="auto"/>
                <w:sz w:val="24"/>
                <w:szCs w:val="24"/>
              </w:rPr>
              <w:t>。</w:t>
            </w:r>
          </w:p>
          <w:p w14:paraId="56ED9AAA">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火灾事故：监控周围环境空气，监测颗粒物、非甲烷总烃</w:t>
            </w:r>
            <w:r>
              <w:rPr>
                <w:rFonts w:hint="default" w:ascii="Times New Roman" w:hAnsi="Times New Roman" w:eastAsia="宋体" w:cs="Times New Roman"/>
                <w:color w:val="auto"/>
                <w:sz w:val="24"/>
                <w:szCs w:val="24"/>
                <w:lang w:val="en-US" w:eastAsia="zh-CN"/>
              </w:rPr>
              <w:t>、氯化氢等</w:t>
            </w:r>
            <w:r>
              <w:rPr>
                <w:rFonts w:hint="default" w:ascii="Times New Roman" w:hAnsi="Times New Roman" w:eastAsia="宋体" w:cs="Times New Roman"/>
                <w:color w:val="auto"/>
                <w:sz w:val="24"/>
                <w:szCs w:val="24"/>
              </w:rPr>
              <w:t>。</w:t>
            </w:r>
          </w:p>
          <w:p w14:paraId="056A0735">
            <w:pPr>
              <w:snapToGrid w:val="0"/>
              <w:ind w:firstLine="42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危废泄漏事故等：应对厂区内废物贮存场所或其他泄漏处附近地下水和土壤进行监测</w:t>
            </w:r>
            <w:r>
              <w:rPr>
                <w:rFonts w:hint="default" w:ascii="Times New Roman" w:hAnsi="Times New Roman" w:eastAsia="宋体" w:cs="Times New Roman"/>
                <w:color w:val="auto"/>
                <w:sz w:val="24"/>
                <w:szCs w:val="24"/>
                <w:lang w:eastAsia="zh-CN"/>
              </w:rPr>
              <w:t>。</w:t>
            </w:r>
          </w:p>
          <w:p w14:paraId="3AB8E7B1">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③风险应急物资配备</w:t>
            </w:r>
          </w:p>
          <w:p w14:paraId="77F352E6">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作人员需配备有防护服、劳保用品等，车间、仓库等场所应配置足量的灭火器，厂区周围和车间需有视频监控装置，厂区配备有足够的应急设施。应急物资应专人负责管理和维护，专物专用，除抢险救灾外，严禁挪作他用，消防器材要经常检查保养，定期更换药剂，定点摆放，便于取用，应急物资必须立标志牌，物资上下不得遮盖、堆放其他物品，保持通道畅通，并设立严禁烟花、污水排放口、一般固体废弃物、安全通道、灭火器及消防栓等主要警示牌。设立厂内急救指挥小组，并和当地事故应急救援部门建立正常联系，一旦出现事故能立刻采取有效救援措施。</w:t>
            </w:r>
          </w:p>
          <w:p w14:paraId="4559C6D2">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④</w:t>
            </w:r>
            <w:r>
              <w:rPr>
                <w:rFonts w:hint="default" w:ascii="Times New Roman" w:hAnsi="Times New Roman" w:eastAsia="宋体" w:cs="Times New Roman"/>
                <w:color w:val="auto"/>
                <w:sz w:val="24"/>
                <w:szCs w:val="24"/>
              </w:rPr>
              <w:t>应急管理培训、应急演练</w:t>
            </w:r>
          </w:p>
          <w:p w14:paraId="6B1D085B">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每年至少进行一次全员应急管理培训，培训内容包括：事故预防、危险辨识、事故报告、应急响应、各类事故处置方案、基本救护常识、避灾避险、逃生自救等。</w:t>
            </w:r>
          </w:p>
          <w:p w14:paraId="11679B08">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根据年度应急演练计划，每年至少分别安排一次桌面演练和综合演练，强化职工应急意识，提高应急队伍的反应速度和实战能力。</w:t>
            </w:r>
          </w:p>
          <w:p w14:paraId="04DFD3BE">
            <w:pPr>
              <w:adjustRightInd w:val="0"/>
              <w:snapToGrid w:val="0"/>
              <w:ind w:firstLine="0" w:firstLineChars="0"/>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7.6环境风险结论</w:t>
            </w:r>
          </w:p>
          <w:p w14:paraId="6F407DA8">
            <w:pPr>
              <w:snapToGrid w:val="0"/>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般情况下，发生环境风险事故几率较小，为进一步减少风险产生的几率，避免风险情况的出现，建设单位需加强生产、安全管理和作业场所的在线监控、监测，及时预警、报警；防止由安全事故引发的环境事件，注意与区域的联动。同时关注危废仓库危险废物存放过程的环境风险，制定切实可行的突发环境事件应急预案（并报备），明确应急物资的配备要求。防止由此带来的生产安全和环境风险。本项目的事故风险处于可接收水平。</w:t>
            </w:r>
          </w:p>
          <w:p w14:paraId="112FB0A4">
            <w:pPr>
              <w:ind w:firstLine="0" w:firstLineChars="0"/>
              <w:rPr>
                <w:rFonts w:hint="default" w:ascii="Times New Roman" w:hAnsi="Times New Roman" w:eastAsia="宋体" w:cs="Times New Roman"/>
                <w:b/>
                <w:color w:val="auto"/>
                <w:sz w:val="24"/>
                <w:szCs w:val="24"/>
              </w:rPr>
            </w:pPr>
            <w:r>
              <w:rPr>
                <w:rFonts w:hint="default" w:ascii="Times New Roman" w:hAnsi="Times New Roman" w:eastAsia="宋体" w:cs="Times New Roman"/>
                <w:b/>
                <w:bCs/>
                <w:color w:val="auto"/>
                <w:sz w:val="24"/>
                <w:szCs w:val="24"/>
              </w:rPr>
              <w:t>8、</w:t>
            </w:r>
            <w:r>
              <w:rPr>
                <w:rFonts w:hint="default" w:ascii="Times New Roman" w:hAnsi="Times New Roman" w:eastAsia="宋体" w:cs="Times New Roman"/>
                <w:b/>
                <w:color w:val="auto"/>
                <w:sz w:val="24"/>
                <w:szCs w:val="24"/>
              </w:rPr>
              <w:t>电磁辐射</w:t>
            </w:r>
          </w:p>
          <w:p w14:paraId="66FFF443">
            <w:pPr>
              <w:ind w:firstLine="420"/>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本项目主要从事</w:t>
            </w:r>
            <w:r>
              <w:rPr>
                <w:rFonts w:hint="default" w:ascii="Times New Roman" w:hAnsi="Times New Roman" w:eastAsia="宋体" w:cs="Times New Roman"/>
                <w:color w:val="auto"/>
                <w:sz w:val="24"/>
                <w:szCs w:val="24"/>
                <w:lang w:val="en-US" w:eastAsia="zh-CN"/>
              </w:rPr>
              <w:t>[C2929]塑料零件及其他塑料制品制造</w:t>
            </w:r>
            <w:r>
              <w:rPr>
                <w:rFonts w:hint="default" w:ascii="Times New Roman" w:hAnsi="Times New Roman" w:eastAsia="宋体" w:cs="Times New Roman"/>
                <w:color w:val="auto"/>
                <w:sz w:val="24"/>
                <w:szCs w:val="24"/>
                <w:lang w:val="zh-CN"/>
              </w:rPr>
              <w:t>，不属于电磁辐射类项目，本次不进行辐射评价。</w:t>
            </w:r>
          </w:p>
          <w:p w14:paraId="4244E191">
            <w:pPr>
              <w:adjustRightInd w:val="0"/>
              <w:snapToGrid w:val="0"/>
              <w:spacing w:line="460" w:lineRule="exact"/>
              <w:ind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9、环境管理和环境监测计划</w:t>
            </w:r>
          </w:p>
          <w:p w14:paraId="42792255">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9.1环境管理</w:t>
            </w:r>
          </w:p>
          <w:p w14:paraId="336CF867">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本项目建成后，要求企业对其运营期的生产活动建立健全各类环境管理的相关规章、制度和措施，具体包括：</w:t>
            </w:r>
          </w:p>
          <w:p w14:paraId="32C6CC9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①“三同时”制度</w:t>
            </w:r>
          </w:p>
          <w:p w14:paraId="348DA051">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严格贯彻执行“三同时”制度，确保污染防治设施能够与项目主体工程同时设计、同时施工、同时投入运行。</w:t>
            </w:r>
          </w:p>
          <w:p w14:paraId="32DAA781">
            <w:pPr>
              <w:numPr>
                <w:ilvl w:val="0"/>
                <w:numId w:val="0"/>
              </w:numPr>
              <w:ind w:firstLine="480" w:firstLineChars="200"/>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②</w:t>
            </w:r>
            <w:r>
              <w:rPr>
                <w:rFonts w:hint="default" w:ascii="Times New Roman" w:hAnsi="Times New Roman" w:eastAsia="宋体" w:cs="Times New Roman"/>
                <w:color w:val="auto"/>
                <w:sz w:val="24"/>
                <w:szCs w:val="24"/>
              </w:rPr>
              <w:t>排污许可管理制度</w:t>
            </w:r>
          </w:p>
          <w:p w14:paraId="74BB237E">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根据《固定污染源排污许可分类管理名录（2019年版）》要求申领排污许可证。</w:t>
            </w:r>
          </w:p>
          <w:p w14:paraId="52473AB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③环境报告制度</w:t>
            </w:r>
          </w:p>
          <w:p w14:paraId="0648DB63">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定期向当地环保部门报告污染治理设施运行情况、污染物排放情况以及污染事故、污染纠纷等情况。</w:t>
            </w:r>
          </w:p>
          <w:p w14:paraId="6AC27BB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④环境治理设施监管联动机制</w:t>
            </w:r>
          </w:p>
          <w:p w14:paraId="63FD8BD4">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建立污染处理设施监管联动机制，建立健全内部管理责任制度，严格依据标准规范建设环境治理设施，并制定操作规程，建立管理</w:t>
            </w:r>
            <w:r>
              <w:rPr>
                <w:rFonts w:hint="default" w:ascii="Times New Roman" w:hAnsi="Times New Roman" w:eastAsia="宋体" w:cs="Times New Roman"/>
                <w:color w:val="auto"/>
                <w:sz w:val="24"/>
                <w:szCs w:val="24"/>
                <w:lang w:eastAsia="zh-CN"/>
              </w:rPr>
              <w:t>台账</w:t>
            </w:r>
            <w:r>
              <w:rPr>
                <w:rFonts w:hint="default" w:ascii="Times New Roman" w:hAnsi="Times New Roman" w:eastAsia="宋体" w:cs="Times New Roman"/>
                <w:color w:val="auto"/>
                <w:sz w:val="24"/>
                <w:szCs w:val="24"/>
              </w:rPr>
              <w:t>，以确定其安全、稳定、有效运行。</w:t>
            </w:r>
          </w:p>
          <w:p w14:paraId="4F374CAB">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⑤其他各类环保规章制度</w:t>
            </w:r>
          </w:p>
          <w:p w14:paraId="7633A24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制定全公司的环境方针、环境管理手册及一系列作业指导书以促进全公司的环境保护工作，使环境保护工作规范化和程序化，通过重要环境因素识别、提出持续改进措施，将全公司环境污染的影响逐年降低。</w:t>
            </w:r>
          </w:p>
          <w:p w14:paraId="7B235417">
            <w:pPr>
              <w:ind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9.2监测计划</w:t>
            </w:r>
          </w:p>
          <w:p w14:paraId="706034E6">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（1）竣工验收监测</w:t>
            </w:r>
          </w:p>
          <w:p w14:paraId="0E0569EE">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本项目建成后，公司应根据《关于发布《建设项目竣工环境保护验收暂行办法》的公告》（国环规环评</w:t>
            </w:r>
            <w:r>
              <w:rPr>
                <w:rFonts w:hint="default" w:ascii="Times New Roman" w:hAnsi="Times New Roman" w:eastAsia="宋体" w:cs="Times New Roman"/>
                <w:color w:val="auto"/>
                <w:sz w:val="24"/>
                <w:szCs w:val="24"/>
                <w:lang w:eastAsia="zh-CN"/>
              </w:rPr>
              <w:t>〔2017〕4号</w:t>
            </w:r>
            <w:r>
              <w:rPr>
                <w:rFonts w:hint="default" w:ascii="Times New Roman" w:hAnsi="Times New Roman" w:eastAsia="宋体" w:cs="Times New Roman"/>
                <w:color w:val="auto"/>
                <w:sz w:val="24"/>
                <w:szCs w:val="24"/>
              </w:rPr>
              <w:t>）及《建设项目竣工环境保护验收技术指南 污染影响类》进行“三同时”自主验收。</w:t>
            </w:r>
          </w:p>
          <w:p w14:paraId="3344C98F">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（2）营运期的常规监测</w:t>
            </w:r>
          </w:p>
          <w:p w14:paraId="36BF00DB">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投运后，应当制定污染源日常监测制度及监测计划，可委托有资质的社会监测机构对企业污染源进行定期监测，并将监测成果存档管理，必要时进行公示。本项目自行监测计划参照《排污单位自行监测技术指南 总则》（HJ819</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2017）</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《排污许可证申请与核发技术规范 </w:t>
            </w:r>
            <w:r>
              <w:rPr>
                <w:rFonts w:hint="default" w:ascii="Times New Roman" w:hAnsi="Times New Roman" w:eastAsia="宋体" w:cs="Times New Roman"/>
                <w:color w:val="auto"/>
                <w:sz w:val="24"/>
                <w:szCs w:val="24"/>
                <w:lang w:bidi="ar"/>
              </w:rPr>
              <w:t>橡胶和塑料制品工业</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z w:val="24"/>
                <w:szCs w:val="24"/>
                <w:lang w:val="en-US" w:eastAsia="zh-CN"/>
              </w:rPr>
              <w:t>1122-</w:t>
            </w: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、《排污单位自行监测技术指南</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bidi="ar"/>
              </w:rPr>
              <w:t>橡胶和塑料制品工业</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z w:val="24"/>
                <w:szCs w:val="24"/>
                <w:lang w:val="en-US" w:eastAsia="zh-CN"/>
              </w:rPr>
              <w:t>1122-</w:t>
            </w: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20</w:t>
            </w:r>
            <w:r>
              <w:rPr>
                <w:rFonts w:hint="default" w:ascii="Times New Roman" w:hAnsi="Times New Roman" w:eastAsia="宋体" w:cs="Times New Roman"/>
                <w:color w:val="auto"/>
                <w:sz w:val="24"/>
                <w:szCs w:val="24"/>
              </w:rPr>
              <w:t>），结合项目特点确定，具体监测项目及监测频次见表4</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w:t>
            </w:r>
          </w:p>
          <w:p w14:paraId="63AAC04D">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污染源监测</w:t>
            </w:r>
            <w:r>
              <w:rPr>
                <w:rFonts w:hint="default" w:ascii="Times New Roman" w:hAnsi="Times New Roman" w:eastAsia="宋体" w:cs="Times New Roman"/>
                <w:b/>
                <w:bCs/>
                <w:color w:val="auto"/>
                <w:sz w:val="21"/>
                <w:szCs w:val="21"/>
                <w:highlight w:val="none"/>
              </w:rPr>
              <w:t>计划表</w:t>
            </w:r>
          </w:p>
          <w:tbl>
            <w:tblPr>
              <w:tblStyle w:val="4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81"/>
              <w:gridCol w:w="3317"/>
              <w:gridCol w:w="1739"/>
              <w:gridCol w:w="3209"/>
            </w:tblGrid>
            <w:tr w14:paraId="407AB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409DB176">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类别</w:t>
                  </w:r>
                </w:p>
              </w:tc>
              <w:tc>
                <w:tcPr>
                  <w:tcW w:w="0" w:type="auto"/>
                  <w:noWrap w:val="0"/>
                  <w:vAlign w:val="center"/>
                </w:tcPr>
                <w:p w14:paraId="32FD24BD">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污染源</w:t>
                  </w:r>
                </w:p>
              </w:tc>
              <w:tc>
                <w:tcPr>
                  <w:tcW w:w="0" w:type="auto"/>
                  <w:noWrap w:val="0"/>
                  <w:vAlign w:val="center"/>
                </w:tcPr>
                <w:p w14:paraId="63E172F4">
                  <w:pPr>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监测项目</w:t>
                  </w:r>
                </w:p>
              </w:tc>
              <w:tc>
                <w:tcPr>
                  <w:tcW w:w="1739" w:type="dxa"/>
                  <w:noWrap w:val="0"/>
                  <w:vAlign w:val="center"/>
                </w:tcPr>
                <w:p w14:paraId="2C8E9920">
                  <w:pPr>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监测频次</w:t>
                  </w:r>
                </w:p>
              </w:tc>
              <w:tc>
                <w:tcPr>
                  <w:tcW w:w="3209" w:type="dxa"/>
                  <w:noWrap w:val="0"/>
                  <w:vAlign w:val="center"/>
                </w:tcPr>
                <w:p w14:paraId="1F704319">
                  <w:pPr>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r>
            <w:tr w14:paraId="6CDFA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noWrap w:val="0"/>
                  <w:vAlign w:val="center"/>
                </w:tcPr>
                <w:p w14:paraId="65560464">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0" w:type="auto"/>
                  <w:vMerge w:val="restart"/>
                  <w:noWrap w:val="0"/>
                  <w:vAlign w:val="center"/>
                </w:tcPr>
                <w:p w14:paraId="17D2BEDE">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DA001</w:t>
                  </w:r>
                </w:p>
              </w:tc>
              <w:tc>
                <w:tcPr>
                  <w:tcW w:w="0" w:type="auto"/>
                  <w:shd w:val="clear" w:color="auto" w:fill="auto"/>
                  <w:noWrap w:val="0"/>
                  <w:vAlign w:val="center"/>
                </w:tcPr>
                <w:p w14:paraId="7CBBE4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1739" w:type="dxa"/>
                  <w:noWrap w:val="0"/>
                  <w:vAlign w:val="center"/>
                </w:tcPr>
                <w:p w14:paraId="60C0DC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restart"/>
                  <w:noWrap w:val="0"/>
                  <w:vAlign w:val="center"/>
                </w:tcPr>
                <w:p w14:paraId="5DCF5A6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lang w:val="en-US" w:eastAsia="zh-CN"/>
                    </w:rPr>
                    <w:t>《大气污染物综合排放标准》（DB32/4041-2021）</w:t>
                  </w:r>
                  <w:r>
                    <w:rPr>
                      <w:rFonts w:hint="eastAsia"/>
                      <w:color w:val="auto"/>
                      <w:lang w:val="en-US" w:eastAsia="zh-CN"/>
                    </w:rPr>
                    <w:t>表1</w:t>
                  </w:r>
                </w:p>
              </w:tc>
            </w:tr>
            <w:tr w14:paraId="0ABD2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0A3EDF64">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0" w:type="auto"/>
                  <w:vMerge w:val="continue"/>
                  <w:noWrap w:val="0"/>
                  <w:vAlign w:val="center"/>
                </w:tcPr>
                <w:p w14:paraId="09E05AF0">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112CFB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1739" w:type="dxa"/>
                  <w:noWrap w:val="0"/>
                  <w:vAlign w:val="center"/>
                </w:tcPr>
                <w:p w14:paraId="76B64F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6DC798F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7AC35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52E65233">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0" w:type="auto"/>
                  <w:vMerge w:val="continue"/>
                  <w:noWrap w:val="0"/>
                  <w:vAlign w:val="center"/>
                </w:tcPr>
                <w:p w14:paraId="67B22CB9">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62D49D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1739" w:type="dxa"/>
                  <w:noWrap w:val="0"/>
                  <w:vAlign w:val="center"/>
                </w:tcPr>
                <w:p w14:paraId="462C6E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6E38184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08A79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736AB57D">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0" w:type="auto"/>
                  <w:vMerge w:val="continue"/>
                  <w:noWrap w:val="0"/>
                  <w:vAlign w:val="center"/>
                </w:tcPr>
                <w:p w14:paraId="56AD2C21">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416618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1739" w:type="dxa"/>
                  <w:noWrap w:val="0"/>
                  <w:vAlign w:val="center"/>
                </w:tcPr>
                <w:p w14:paraId="1FAA10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624D522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122BA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3E458D91">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881" w:type="dxa"/>
                  <w:vMerge w:val="restart"/>
                  <w:noWrap w:val="0"/>
                  <w:vAlign w:val="center"/>
                </w:tcPr>
                <w:p w14:paraId="569B98AF">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w:t>
                  </w:r>
                </w:p>
              </w:tc>
              <w:tc>
                <w:tcPr>
                  <w:tcW w:w="3317" w:type="dxa"/>
                  <w:shd w:val="clear" w:color="auto" w:fill="auto"/>
                  <w:noWrap w:val="0"/>
                  <w:vAlign w:val="center"/>
                </w:tcPr>
                <w:p w14:paraId="262B5C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1739" w:type="dxa"/>
                  <w:noWrap w:val="0"/>
                  <w:vAlign w:val="center"/>
                </w:tcPr>
                <w:p w14:paraId="4AB8BB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restart"/>
                  <w:noWrap w:val="0"/>
                  <w:vAlign w:val="center"/>
                </w:tcPr>
                <w:p w14:paraId="7D4A622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 w:val="21"/>
                      <w:szCs w:val="21"/>
                      <w:lang w:val="en-US" w:eastAsia="zh-CN"/>
                    </w:rPr>
                    <w:t>《大气污染物综合排放标准》（DB32/4041-2021）</w:t>
                  </w:r>
                  <w:r>
                    <w:rPr>
                      <w:rFonts w:hint="eastAsia" w:cs="Times New Roman"/>
                      <w:bCs/>
                      <w:color w:val="auto"/>
                      <w:sz w:val="21"/>
                      <w:szCs w:val="21"/>
                      <w:lang w:val="en-US" w:eastAsia="zh-CN"/>
                    </w:rPr>
                    <w:t>表3</w:t>
                  </w:r>
                </w:p>
              </w:tc>
            </w:tr>
            <w:tr w14:paraId="5351B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1600AB2D">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881" w:type="dxa"/>
                  <w:vMerge w:val="continue"/>
                  <w:noWrap w:val="0"/>
                  <w:vAlign w:val="center"/>
                </w:tcPr>
                <w:p w14:paraId="38CBC9D2">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4D4A54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1739" w:type="dxa"/>
                  <w:noWrap w:val="0"/>
                  <w:vAlign w:val="center"/>
                </w:tcPr>
                <w:p w14:paraId="6DFF2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0FB00A6A">
                  <w:pPr>
                    <w:spacing w:line="240" w:lineRule="auto"/>
                    <w:ind w:firstLine="0" w:firstLineChars="0"/>
                    <w:jc w:val="center"/>
                    <w:rPr>
                      <w:rFonts w:hint="default" w:ascii="Times New Roman" w:hAnsi="Times New Roman" w:eastAsia="宋体" w:cs="Times New Roman"/>
                      <w:color w:val="auto"/>
                      <w:sz w:val="21"/>
                      <w:szCs w:val="21"/>
                    </w:rPr>
                  </w:pPr>
                </w:p>
              </w:tc>
            </w:tr>
            <w:tr w14:paraId="61E17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4E4BDDC1">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881" w:type="dxa"/>
                  <w:vMerge w:val="continue"/>
                  <w:noWrap w:val="0"/>
                  <w:vAlign w:val="center"/>
                </w:tcPr>
                <w:p w14:paraId="29834E7C">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7DD9CC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1739" w:type="dxa"/>
                  <w:noWrap w:val="0"/>
                  <w:vAlign w:val="center"/>
                </w:tcPr>
                <w:p w14:paraId="4DB3A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6E14BF93">
                  <w:pPr>
                    <w:spacing w:line="240" w:lineRule="auto"/>
                    <w:ind w:firstLine="0" w:firstLineChars="0"/>
                    <w:jc w:val="center"/>
                    <w:rPr>
                      <w:rFonts w:hint="default" w:ascii="Times New Roman" w:hAnsi="Times New Roman" w:eastAsia="宋体" w:cs="Times New Roman"/>
                      <w:color w:val="auto"/>
                      <w:sz w:val="21"/>
                      <w:szCs w:val="21"/>
                    </w:rPr>
                  </w:pPr>
                </w:p>
              </w:tc>
            </w:tr>
            <w:tr w14:paraId="0694E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51AECC07">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881" w:type="dxa"/>
                  <w:vMerge w:val="continue"/>
                  <w:noWrap w:val="0"/>
                  <w:vAlign w:val="center"/>
                </w:tcPr>
                <w:p w14:paraId="32596DD6">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3317" w:type="dxa"/>
                  <w:shd w:val="clear" w:color="auto" w:fill="auto"/>
                  <w:noWrap w:val="0"/>
                  <w:vAlign w:val="center"/>
                </w:tcPr>
                <w:p w14:paraId="250E22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1739" w:type="dxa"/>
                  <w:noWrap w:val="0"/>
                  <w:vAlign w:val="center"/>
                </w:tcPr>
                <w:p w14:paraId="0600B4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vMerge w:val="continue"/>
                  <w:noWrap w:val="0"/>
                  <w:vAlign w:val="center"/>
                </w:tcPr>
                <w:p w14:paraId="79971DBB">
                  <w:pPr>
                    <w:spacing w:line="240" w:lineRule="auto"/>
                    <w:ind w:firstLine="0" w:firstLineChars="0"/>
                    <w:jc w:val="center"/>
                    <w:rPr>
                      <w:rFonts w:hint="default" w:ascii="Times New Roman" w:hAnsi="Times New Roman" w:eastAsia="宋体" w:cs="Times New Roman"/>
                      <w:color w:val="auto"/>
                      <w:sz w:val="21"/>
                      <w:szCs w:val="21"/>
                    </w:rPr>
                  </w:pPr>
                </w:p>
              </w:tc>
            </w:tr>
            <w:tr w14:paraId="18F51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noWrap w:val="0"/>
                  <w:vAlign w:val="center"/>
                </w:tcPr>
                <w:p w14:paraId="4A7E3901">
                  <w:pPr>
                    <w:spacing w:line="240" w:lineRule="auto"/>
                    <w:ind w:firstLine="0" w:firstLineChars="0"/>
                    <w:jc w:val="center"/>
                    <w:rPr>
                      <w:rFonts w:hint="default" w:ascii="Times New Roman" w:hAnsi="Times New Roman" w:eastAsia="宋体" w:cs="Times New Roman"/>
                      <w:color w:val="auto"/>
                      <w:sz w:val="21"/>
                      <w:szCs w:val="21"/>
                      <w:lang w:val="en-US" w:eastAsia="zh-CN"/>
                    </w:rPr>
                  </w:pPr>
                </w:p>
              </w:tc>
              <w:tc>
                <w:tcPr>
                  <w:tcW w:w="0" w:type="auto"/>
                  <w:noWrap w:val="0"/>
                  <w:vAlign w:val="center"/>
                </w:tcPr>
                <w:p w14:paraId="6F33CE0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厂房外</w:t>
                  </w:r>
                </w:p>
              </w:tc>
              <w:tc>
                <w:tcPr>
                  <w:tcW w:w="0" w:type="auto"/>
                  <w:noWrap w:val="0"/>
                  <w:vAlign w:val="center"/>
                </w:tcPr>
                <w:p w14:paraId="6D575696">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非甲烷总烃</w:t>
                  </w:r>
                </w:p>
              </w:tc>
              <w:tc>
                <w:tcPr>
                  <w:tcW w:w="1739" w:type="dxa"/>
                  <w:noWrap w:val="0"/>
                  <w:vAlign w:val="center"/>
                </w:tcPr>
                <w:p w14:paraId="4F23F678">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3209" w:type="dxa"/>
                  <w:noWrap w:val="0"/>
                  <w:vAlign w:val="center"/>
                </w:tcPr>
                <w:p w14:paraId="41235EA3">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《大气污染物综合排放标准》（DB32/4041-2021</w:t>
                  </w:r>
                  <w:r>
                    <w:rPr>
                      <w:rFonts w:hint="eastAsia" w:cs="Times New Roman"/>
                      <w:color w:val="auto"/>
                      <w:sz w:val="21"/>
                      <w:szCs w:val="21"/>
                      <w:lang w:val="en-US" w:eastAsia="zh-CN"/>
                    </w:rPr>
                    <w:t>）表2</w:t>
                  </w:r>
                </w:p>
              </w:tc>
            </w:tr>
            <w:tr w14:paraId="1E241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494618E1">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w:t>
                  </w:r>
                </w:p>
              </w:tc>
              <w:tc>
                <w:tcPr>
                  <w:tcW w:w="0" w:type="auto"/>
                  <w:noWrap w:val="0"/>
                  <w:vAlign w:val="center"/>
                </w:tcPr>
                <w:p w14:paraId="195DCAF5">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DW001</w:t>
                  </w:r>
                </w:p>
              </w:tc>
              <w:tc>
                <w:tcPr>
                  <w:tcW w:w="0" w:type="auto"/>
                  <w:noWrap w:val="0"/>
                  <w:vAlign w:val="center"/>
                </w:tcPr>
                <w:p w14:paraId="5AA01CD0">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w:t>
                  </w:r>
                  <w:r>
                    <w:rPr>
                      <w:rFonts w:hint="default" w:ascii="Times New Roman" w:hAnsi="Times New Roman" w:eastAsia="宋体" w:cs="Times New Roman"/>
                      <w:color w:val="auto"/>
                      <w:sz w:val="21"/>
                      <w:szCs w:val="21"/>
                    </w:rPr>
                    <w:t>COD、SS、NH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-N、TP、TN</w:t>
                  </w:r>
                </w:p>
              </w:tc>
              <w:tc>
                <w:tcPr>
                  <w:tcW w:w="1739" w:type="dxa"/>
                  <w:noWrap w:val="0"/>
                  <w:vAlign w:val="center"/>
                </w:tcPr>
                <w:p w14:paraId="7383A596">
                  <w:pPr>
                    <w:spacing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一年一次</w:t>
                  </w:r>
                </w:p>
              </w:tc>
              <w:tc>
                <w:tcPr>
                  <w:tcW w:w="3209" w:type="dxa"/>
                  <w:noWrap w:val="0"/>
                  <w:vAlign w:val="center"/>
                </w:tcPr>
                <w:p w14:paraId="0EFFEB91">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常州市金坛儒林污水处理厂</w:t>
                  </w:r>
                  <w:r>
                    <w:rPr>
                      <w:rFonts w:hint="default" w:ascii="Times New Roman" w:hAnsi="Times New Roman" w:eastAsia="宋体" w:cs="Times New Roman"/>
                      <w:color w:val="auto"/>
                      <w:sz w:val="21"/>
                      <w:szCs w:val="21"/>
                    </w:rPr>
                    <w:t>接管标准</w:t>
                  </w:r>
                </w:p>
              </w:tc>
            </w:tr>
            <w:tr w14:paraId="1978A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noWrap w:val="0"/>
                  <w:vAlign w:val="center"/>
                </w:tcPr>
                <w:p w14:paraId="77BE5ACE">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噪声</w:t>
                  </w:r>
                </w:p>
              </w:tc>
              <w:tc>
                <w:tcPr>
                  <w:tcW w:w="0" w:type="auto"/>
                  <w:noWrap w:val="0"/>
                  <w:vAlign w:val="center"/>
                </w:tcPr>
                <w:p w14:paraId="5A4A901C">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各厂界</w:t>
                  </w:r>
                </w:p>
              </w:tc>
              <w:tc>
                <w:tcPr>
                  <w:tcW w:w="0" w:type="auto"/>
                  <w:noWrap w:val="0"/>
                  <w:vAlign w:val="center"/>
                </w:tcPr>
                <w:p w14:paraId="0CCFBE3B">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昼间</w:t>
                  </w:r>
                  <w:r>
                    <w:rPr>
                      <w:rFonts w:hint="default" w:ascii="Times New Roman" w:hAnsi="Times New Roman" w:eastAsia="宋体" w:cs="Times New Roman"/>
                      <w:color w:val="auto"/>
                      <w:sz w:val="21"/>
                      <w:szCs w:val="21"/>
                    </w:rPr>
                    <w:t>等效连续A声级</w:t>
                  </w:r>
                </w:p>
              </w:tc>
              <w:tc>
                <w:tcPr>
                  <w:tcW w:w="1739" w:type="dxa"/>
                  <w:noWrap w:val="0"/>
                  <w:vAlign w:val="center"/>
                </w:tcPr>
                <w:p w14:paraId="1354DE29">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每季度监测一次</w:t>
                  </w:r>
                </w:p>
              </w:tc>
              <w:tc>
                <w:tcPr>
                  <w:tcW w:w="3209" w:type="dxa"/>
                  <w:noWrap w:val="0"/>
                  <w:vAlign w:val="center"/>
                </w:tcPr>
                <w:p w14:paraId="077C461A">
                  <w:pPr>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《工业企业厂界环境噪声排放标准》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GB12348-2008</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表1中的</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类标准</w:t>
                  </w:r>
                </w:p>
              </w:tc>
            </w:tr>
          </w:tbl>
          <w:p w14:paraId="37F07F94">
            <w:pPr>
              <w:adjustRightInd w:val="0"/>
              <w:snapToGrid w:val="0"/>
              <w:ind w:firstLine="420"/>
              <w:rPr>
                <w:rFonts w:hint="default" w:ascii="Times New Roman" w:hAnsi="Times New Roman" w:eastAsia="宋体" w:cs="Times New Roman"/>
                <w:color w:val="auto"/>
                <w:sz w:val="24"/>
                <w:szCs w:val="24"/>
                <w:lang w:val="en-US" w:eastAsia="zh-CN"/>
              </w:rPr>
            </w:pPr>
          </w:p>
        </w:tc>
      </w:tr>
    </w:tbl>
    <w:p w14:paraId="07079D4A">
      <w:pPr>
        <w:ind w:firstLine="420"/>
        <w:rPr>
          <w:rFonts w:hint="default" w:ascii="Times New Roman" w:hAnsi="Times New Roman" w:eastAsia="宋体" w:cs="Times New Roman"/>
          <w:color w:val="auto"/>
        </w:rPr>
        <w:sectPr>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p w14:paraId="08E0741B">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五、环境保护措施监督检查清单</w:t>
      </w:r>
    </w:p>
    <w:tbl>
      <w:tblPr>
        <w:tblStyle w:val="4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218"/>
        <w:gridCol w:w="2021"/>
        <w:gridCol w:w="1687"/>
        <w:gridCol w:w="4222"/>
      </w:tblGrid>
      <w:tr w14:paraId="326135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B644A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内容要素</w:t>
            </w:r>
          </w:p>
        </w:tc>
        <w:tc>
          <w:tcPr>
            <w:tcW w:w="0" w:type="auto"/>
            <w:tcBorders>
              <w:tl2br w:val="nil"/>
              <w:tr2bl w:val="nil"/>
            </w:tcBorders>
            <w:noWrap w:val="0"/>
            <w:vAlign w:val="center"/>
          </w:tcPr>
          <w:p w14:paraId="0CFB94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排放口污染源</w:t>
            </w:r>
          </w:p>
        </w:tc>
        <w:tc>
          <w:tcPr>
            <w:tcW w:w="0" w:type="auto"/>
            <w:tcBorders>
              <w:tl2br w:val="nil"/>
              <w:tr2bl w:val="nil"/>
            </w:tcBorders>
            <w:noWrap w:val="0"/>
            <w:vAlign w:val="center"/>
          </w:tcPr>
          <w:p w14:paraId="026AE9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污染物项目</w:t>
            </w:r>
          </w:p>
        </w:tc>
        <w:tc>
          <w:tcPr>
            <w:tcW w:w="0" w:type="auto"/>
            <w:tcBorders>
              <w:tl2br w:val="nil"/>
              <w:tr2bl w:val="nil"/>
            </w:tcBorders>
            <w:noWrap w:val="0"/>
            <w:vAlign w:val="center"/>
          </w:tcPr>
          <w:p w14:paraId="76B0C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环境保护措施</w:t>
            </w:r>
          </w:p>
        </w:tc>
        <w:tc>
          <w:tcPr>
            <w:tcW w:w="0" w:type="auto"/>
            <w:tcBorders>
              <w:tl2br w:val="nil"/>
              <w:tr2bl w:val="nil"/>
            </w:tcBorders>
            <w:noWrap w:val="0"/>
            <w:vAlign w:val="center"/>
          </w:tcPr>
          <w:p w14:paraId="7193B4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执行标准</w:t>
            </w:r>
          </w:p>
        </w:tc>
      </w:tr>
      <w:tr w14:paraId="389332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Borders>
              <w:tl2br w:val="nil"/>
              <w:tr2bl w:val="nil"/>
            </w:tcBorders>
            <w:noWrap w:val="0"/>
            <w:vAlign w:val="center"/>
          </w:tcPr>
          <w:p w14:paraId="046236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大气环境</w:t>
            </w:r>
          </w:p>
        </w:tc>
        <w:tc>
          <w:tcPr>
            <w:tcW w:w="0" w:type="auto"/>
            <w:vMerge w:val="restart"/>
            <w:tcBorders>
              <w:tl2br w:val="nil"/>
              <w:tr2bl w:val="nil"/>
            </w:tcBorders>
            <w:noWrap w:val="0"/>
            <w:vAlign w:val="center"/>
          </w:tcPr>
          <w:p w14:paraId="17C22D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0" w:type="auto"/>
            <w:tcBorders>
              <w:tl2br w:val="nil"/>
              <w:tr2bl w:val="nil"/>
            </w:tcBorders>
            <w:shd w:val="clear" w:color="auto" w:fill="auto"/>
            <w:noWrap w:val="0"/>
            <w:vAlign w:val="center"/>
          </w:tcPr>
          <w:p w14:paraId="283D94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0" w:type="auto"/>
            <w:vMerge w:val="restart"/>
            <w:tcBorders>
              <w:tl2br w:val="nil"/>
              <w:tr2bl w:val="nil"/>
            </w:tcBorders>
            <w:noWrap w:val="0"/>
            <w:vAlign w:val="center"/>
          </w:tcPr>
          <w:p w14:paraId="2EF869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布袋除尘器+二级活性炭吸附装置</w:t>
            </w:r>
          </w:p>
        </w:tc>
        <w:tc>
          <w:tcPr>
            <w:tcW w:w="0" w:type="auto"/>
            <w:vMerge w:val="restart"/>
            <w:tcBorders>
              <w:tl2br w:val="nil"/>
              <w:tr2bl w:val="nil"/>
            </w:tcBorders>
            <w:shd w:val="clear" w:color="auto" w:fill="auto"/>
            <w:noWrap w:val="0"/>
            <w:vAlign w:val="center"/>
          </w:tcPr>
          <w:p w14:paraId="7776EE6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lang w:val="en-US" w:eastAsia="zh-CN"/>
              </w:rPr>
              <w:t>《大气污染物综合排放标准》（DB32/4041-2021）</w:t>
            </w:r>
            <w:r>
              <w:rPr>
                <w:rFonts w:hint="eastAsia" w:cs="Times New Roman"/>
                <w:bCs/>
                <w:color w:val="auto"/>
                <w:sz w:val="21"/>
                <w:szCs w:val="21"/>
                <w:lang w:val="en-US" w:eastAsia="zh-CN"/>
              </w:rPr>
              <w:t>表1</w:t>
            </w:r>
          </w:p>
        </w:tc>
      </w:tr>
      <w:tr w14:paraId="2ACFBA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155A47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tcBorders>
              <w:tl2br w:val="nil"/>
              <w:tr2bl w:val="nil"/>
            </w:tcBorders>
            <w:noWrap w:val="0"/>
            <w:vAlign w:val="center"/>
          </w:tcPr>
          <w:p w14:paraId="30F2A2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3567FB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0" w:type="auto"/>
            <w:vMerge w:val="continue"/>
            <w:tcBorders>
              <w:tl2br w:val="nil"/>
              <w:tr2bl w:val="nil"/>
            </w:tcBorders>
            <w:noWrap w:val="0"/>
            <w:vAlign w:val="center"/>
          </w:tcPr>
          <w:p w14:paraId="4BF881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01A84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814B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3366A2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tcBorders>
              <w:tl2br w:val="nil"/>
              <w:tr2bl w:val="nil"/>
            </w:tcBorders>
            <w:noWrap w:val="0"/>
            <w:vAlign w:val="center"/>
          </w:tcPr>
          <w:p w14:paraId="396FFF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291782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0" w:type="auto"/>
            <w:vMerge w:val="continue"/>
            <w:tcBorders>
              <w:tl2br w:val="nil"/>
              <w:tr2bl w:val="nil"/>
            </w:tcBorders>
            <w:noWrap w:val="0"/>
            <w:vAlign w:val="center"/>
          </w:tcPr>
          <w:p w14:paraId="04FA5A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469A8B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9C535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11673C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p>
        </w:tc>
        <w:tc>
          <w:tcPr>
            <w:tcW w:w="0" w:type="auto"/>
            <w:vMerge w:val="continue"/>
            <w:tcBorders>
              <w:tl2br w:val="nil"/>
              <w:tr2bl w:val="nil"/>
            </w:tcBorders>
            <w:noWrap w:val="0"/>
            <w:vAlign w:val="center"/>
          </w:tcPr>
          <w:p w14:paraId="07301A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5E13AA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0" w:type="auto"/>
            <w:vMerge w:val="continue"/>
            <w:tcBorders>
              <w:tl2br w:val="nil"/>
              <w:tr2bl w:val="nil"/>
            </w:tcBorders>
            <w:noWrap w:val="0"/>
            <w:vAlign w:val="center"/>
          </w:tcPr>
          <w:p w14:paraId="393210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4486B8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2BF03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667977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0" w:type="auto"/>
            <w:vMerge w:val="restart"/>
            <w:tcBorders>
              <w:tl2br w:val="nil"/>
              <w:tr2bl w:val="nil"/>
            </w:tcBorders>
            <w:noWrap w:val="0"/>
            <w:vAlign w:val="center"/>
          </w:tcPr>
          <w:p w14:paraId="2E140CE6">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厂界</w:t>
            </w:r>
          </w:p>
        </w:tc>
        <w:tc>
          <w:tcPr>
            <w:tcW w:w="0" w:type="auto"/>
            <w:tcBorders>
              <w:tl2br w:val="nil"/>
              <w:tr2bl w:val="nil"/>
            </w:tcBorders>
            <w:shd w:val="clear" w:color="auto" w:fill="auto"/>
            <w:noWrap w:val="0"/>
            <w:vAlign w:val="center"/>
          </w:tcPr>
          <w:p w14:paraId="6BC324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颗粒物</w:t>
            </w:r>
          </w:p>
        </w:tc>
        <w:tc>
          <w:tcPr>
            <w:tcW w:w="0" w:type="auto"/>
            <w:vMerge w:val="restart"/>
            <w:tcBorders>
              <w:tl2br w:val="nil"/>
              <w:tr2bl w:val="nil"/>
            </w:tcBorders>
            <w:noWrap w:val="0"/>
            <w:vAlign w:val="center"/>
          </w:tcPr>
          <w:p w14:paraId="26B1D2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源头治理，加强管理</w:t>
            </w:r>
          </w:p>
        </w:tc>
        <w:tc>
          <w:tcPr>
            <w:tcW w:w="0" w:type="auto"/>
            <w:vMerge w:val="restart"/>
            <w:tcBorders>
              <w:tl2br w:val="nil"/>
              <w:tr2bl w:val="nil"/>
            </w:tcBorders>
            <w:shd w:val="clear" w:color="auto" w:fill="auto"/>
            <w:noWrap w:val="0"/>
            <w:vAlign w:val="center"/>
          </w:tcPr>
          <w:p w14:paraId="6F13D66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lang w:val="en-US" w:eastAsia="zh-CN"/>
              </w:rPr>
              <w:t>《大气污染物综合排放标准》（DB32/4041-2021）</w:t>
            </w:r>
            <w:r>
              <w:rPr>
                <w:rFonts w:hint="eastAsia"/>
                <w:color w:val="auto"/>
                <w:lang w:val="en-US" w:eastAsia="zh-CN"/>
              </w:rPr>
              <w:t>表3</w:t>
            </w:r>
          </w:p>
        </w:tc>
      </w:tr>
      <w:tr w14:paraId="3432F4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014472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0" w:type="auto"/>
            <w:vMerge w:val="continue"/>
            <w:tcBorders>
              <w:tl2br w:val="nil"/>
              <w:tr2bl w:val="nil"/>
            </w:tcBorders>
            <w:noWrap w:val="0"/>
            <w:vAlign w:val="center"/>
          </w:tcPr>
          <w:p w14:paraId="236DCD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5F9514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非甲烷总烃</w:t>
            </w:r>
          </w:p>
        </w:tc>
        <w:tc>
          <w:tcPr>
            <w:tcW w:w="0" w:type="auto"/>
            <w:vMerge w:val="continue"/>
            <w:tcBorders>
              <w:tl2br w:val="nil"/>
              <w:tr2bl w:val="nil"/>
            </w:tcBorders>
            <w:noWrap w:val="0"/>
            <w:vAlign w:val="center"/>
          </w:tcPr>
          <w:p w14:paraId="4D6CC7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7CEED4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8B8D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3D7210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0" w:type="auto"/>
            <w:vMerge w:val="continue"/>
            <w:tcBorders>
              <w:tl2br w:val="nil"/>
              <w:tr2bl w:val="nil"/>
            </w:tcBorders>
            <w:noWrap w:val="0"/>
            <w:vAlign w:val="center"/>
          </w:tcPr>
          <w:p w14:paraId="0A4C42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10C225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氯乙烯</w:t>
            </w:r>
          </w:p>
        </w:tc>
        <w:tc>
          <w:tcPr>
            <w:tcW w:w="0" w:type="auto"/>
            <w:vMerge w:val="continue"/>
            <w:tcBorders>
              <w:tl2br w:val="nil"/>
              <w:tr2bl w:val="nil"/>
            </w:tcBorders>
            <w:noWrap w:val="0"/>
            <w:vAlign w:val="center"/>
          </w:tcPr>
          <w:p w14:paraId="575436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066C4E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171181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280546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0" w:type="auto"/>
            <w:vMerge w:val="continue"/>
            <w:tcBorders>
              <w:tl2br w:val="nil"/>
              <w:tr2bl w:val="nil"/>
            </w:tcBorders>
            <w:noWrap w:val="0"/>
            <w:vAlign w:val="center"/>
          </w:tcPr>
          <w:p w14:paraId="157AAC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shd w:val="clear" w:color="auto" w:fill="auto"/>
            <w:noWrap w:val="0"/>
            <w:vAlign w:val="center"/>
          </w:tcPr>
          <w:p w14:paraId="5D8A5A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氯化氢</w:t>
            </w:r>
          </w:p>
        </w:tc>
        <w:tc>
          <w:tcPr>
            <w:tcW w:w="0" w:type="auto"/>
            <w:vMerge w:val="continue"/>
            <w:tcBorders>
              <w:tl2br w:val="nil"/>
              <w:tr2bl w:val="nil"/>
            </w:tcBorders>
            <w:noWrap w:val="0"/>
            <w:vAlign w:val="center"/>
          </w:tcPr>
          <w:p w14:paraId="03E044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vMerge w:val="continue"/>
            <w:tcBorders>
              <w:tl2br w:val="nil"/>
              <w:tr2bl w:val="nil"/>
            </w:tcBorders>
            <w:noWrap w:val="0"/>
            <w:vAlign w:val="center"/>
          </w:tcPr>
          <w:p w14:paraId="2D389D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9FA5A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tcBorders>
              <w:tl2br w:val="nil"/>
              <w:tr2bl w:val="nil"/>
            </w:tcBorders>
            <w:noWrap w:val="0"/>
            <w:vAlign w:val="center"/>
          </w:tcPr>
          <w:p w14:paraId="53DAD6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0" w:type="auto"/>
            <w:tcBorders>
              <w:tl2br w:val="nil"/>
              <w:tr2bl w:val="nil"/>
            </w:tcBorders>
            <w:noWrap w:val="0"/>
            <w:vAlign w:val="center"/>
          </w:tcPr>
          <w:p w14:paraId="6191FE04">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厂房外</w:t>
            </w:r>
          </w:p>
        </w:tc>
        <w:tc>
          <w:tcPr>
            <w:tcW w:w="0" w:type="auto"/>
            <w:tcBorders>
              <w:tl2br w:val="nil"/>
              <w:tr2bl w:val="nil"/>
            </w:tcBorders>
            <w:noWrap w:val="0"/>
            <w:vAlign w:val="center"/>
          </w:tcPr>
          <w:p w14:paraId="40F0EFCF">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非甲烷总烃</w:t>
            </w:r>
          </w:p>
        </w:tc>
        <w:tc>
          <w:tcPr>
            <w:tcW w:w="0" w:type="auto"/>
            <w:vMerge w:val="continue"/>
            <w:tcBorders>
              <w:tl2br w:val="nil"/>
              <w:tr2bl w:val="nil"/>
            </w:tcBorders>
            <w:noWrap w:val="0"/>
            <w:vAlign w:val="center"/>
          </w:tcPr>
          <w:p w14:paraId="5D2A5A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0" w:type="auto"/>
            <w:tcBorders>
              <w:tl2br w:val="nil"/>
              <w:tr2bl w:val="nil"/>
            </w:tcBorders>
            <w:noWrap w:val="0"/>
            <w:vAlign w:val="center"/>
          </w:tcPr>
          <w:p w14:paraId="7E8A34C3">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《大气污染物综合排放标准》（DB32/4041-2021）表2</w:t>
            </w:r>
          </w:p>
        </w:tc>
      </w:tr>
      <w:tr w14:paraId="2AAE7F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6D67A1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地表水环境</w:t>
            </w:r>
          </w:p>
        </w:tc>
        <w:tc>
          <w:tcPr>
            <w:tcW w:w="0" w:type="auto"/>
            <w:tcBorders>
              <w:tl2br w:val="nil"/>
              <w:tr2bl w:val="nil"/>
            </w:tcBorders>
            <w:noWrap w:val="0"/>
            <w:vAlign w:val="center"/>
          </w:tcPr>
          <w:p w14:paraId="1B5E50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生活污水</w:t>
            </w:r>
          </w:p>
        </w:tc>
        <w:tc>
          <w:tcPr>
            <w:tcW w:w="0" w:type="auto"/>
            <w:tcBorders>
              <w:tl2br w:val="nil"/>
              <w:tr2bl w:val="nil"/>
            </w:tcBorders>
            <w:noWrap w:val="0"/>
            <w:vAlign w:val="center"/>
          </w:tcPr>
          <w:p w14:paraId="3918FA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w:t>
            </w:r>
            <w:r>
              <w:rPr>
                <w:rFonts w:hint="default" w:ascii="Times New Roman" w:hAnsi="Times New Roman" w:eastAsia="宋体" w:cs="Times New Roman"/>
                <w:color w:val="auto"/>
                <w:sz w:val="21"/>
                <w:szCs w:val="21"/>
              </w:rPr>
              <w:t>COD、SS、NH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-N、TP、TN</w:t>
            </w:r>
          </w:p>
        </w:tc>
        <w:tc>
          <w:tcPr>
            <w:tcW w:w="0" w:type="auto"/>
            <w:tcBorders>
              <w:tl2br w:val="nil"/>
              <w:tr2bl w:val="nil"/>
            </w:tcBorders>
            <w:noWrap w:val="0"/>
            <w:vAlign w:val="center"/>
          </w:tcPr>
          <w:p w14:paraId="569BE4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smallCaps w:val="0"/>
                <w:color w:val="auto"/>
                <w:spacing w:val="0"/>
                <w:kern w:val="0"/>
                <w:position w:val="0"/>
                <w:sz w:val="21"/>
                <w:szCs w:val="21"/>
              </w:rPr>
              <w:t>接入市政污水管网</w:t>
            </w:r>
          </w:p>
        </w:tc>
        <w:tc>
          <w:tcPr>
            <w:tcW w:w="0" w:type="auto"/>
            <w:tcBorders>
              <w:tl2br w:val="nil"/>
              <w:tr2bl w:val="nil"/>
            </w:tcBorders>
            <w:noWrap w:val="0"/>
            <w:vAlign w:val="center"/>
          </w:tcPr>
          <w:p w14:paraId="5AE828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常州市金坛儒林污水处理厂</w:t>
            </w:r>
            <w:r>
              <w:rPr>
                <w:rFonts w:hint="default" w:ascii="Times New Roman" w:hAnsi="Times New Roman" w:eastAsia="宋体" w:cs="Times New Roman"/>
                <w:color w:val="auto"/>
                <w:sz w:val="21"/>
                <w:szCs w:val="21"/>
              </w:rPr>
              <w:t>接管标准</w:t>
            </w:r>
          </w:p>
        </w:tc>
      </w:tr>
      <w:tr w14:paraId="76E560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0"/>
            <w:vAlign w:val="center"/>
          </w:tcPr>
          <w:p w14:paraId="366C31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声环境</w:t>
            </w:r>
          </w:p>
        </w:tc>
        <w:tc>
          <w:tcPr>
            <w:tcW w:w="0" w:type="auto"/>
            <w:tcBorders>
              <w:tl2br w:val="nil"/>
              <w:tr2bl w:val="nil"/>
            </w:tcBorders>
            <w:noWrap w:val="0"/>
            <w:vAlign w:val="center"/>
          </w:tcPr>
          <w:p w14:paraId="17B048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各厂界</w:t>
            </w:r>
          </w:p>
        </w:tc>
        <w:tc>
          <w:tcPr>
            <w:tcW w:w="0" w:type="auto"/>
            <w:tcBorders>
              <w:tl2br w:val="nil"/>
              <w:tr2bl w:val="nil"/>
            </w:tcBorders>
            <w:noWrap w:val="0"/>
            <w:vAlign w:val="center"/>
          </w:tcPr>
          <w:p w14:paraId="136659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昼间</w:t>
            </w:r>
            <w:r>
              <w:rPr>
                <w:rFonts w:hint="default" w:ascii="Times New Roman" w:hAnsi="Times New Roman" w:eastAsia="宋体" w:cs="Times New Roman"/>
                <w:color w:val="auto"/>
                <w:sz w:val="21"/>
                <w:szCs w:val="21"/>
              </w:rPr>
              <w:t>等效连续A</w:t>
            </w:r>
            <w:r>
              <w:rPr>
                <w:rFonts w:hint="default" w:ascii="Times New Roman" w:hAnsi="Times New Roman" w:eastAsia="宋体" w:cs="Times New Roman"/>
                <w:color w:val="auto"/>
                <w:sz w:val="21"/>
                <w:szCs w:val="21"/>
                <w:lang w:val="en-US" w:eastAsia="zh-CN"/>
              </w:rPr>
              <w:t>计权</w:t>
            </w:r>
            <w:r>
              <w:rPr>
                <w:rFonts w:hint="default" w:ascii="Times New Roman" w:hAnsi="Times New Roman" w:eastAsia="宋体" w:cs="Times New Roman"/>
                <w:color w:val="auto"/>
                <w:sz w:val="21"/>
                <w:szCs w:val="21"/>
              </w:rPr>
              <w:t>声级</w:t>
            </w:r>
          </w:p>
        </w:tc>
        <w:tc>
          <w:tcPr>
            <w:tcW w:w="0" w:type="auto"/>
            <w:tcBorders>
              <w:tl2br w:val="nil"/>
              <w:tr2bl w:val="nil"/>
            </w:tcBorders>
            <w:noWrap w:val="0"/>
            <w:vAlign w:val="center"/>
          </w:tcPr>
          <w:p w14:paraId="28F078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隔声、减震</w:t>
            </w:r>
          </w:p>
        </w:tc>
        <w:tc>
          <w:tcPr>
            <w:tcW w:w="0" w:type="auto"/>
            <w:tcBorders>
              <w:tl2br w:val="nil"/>
              <w:tr2bl w:val="nil"/>
            </w:tcBorders>
            <w:noWrap w:val="0"/>
            <w:vAlign w:val="center"/>
          </w:tcPr>
          <w:p w14:paraId="11F2C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《工业企业厂界环境噪声排放标准》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GB12348-2008</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表1中的</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类标准</w:t>
            </w:r>
          </w:p>
        </w:tc>
      </w:tr>
      <w:tr w14:paraId="2F289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0"/>
            <w:vAlign w:val="center"/>
          </w:tcPr>
          <w:p w14:paraId="5DB5DD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固体废物</w:t>
            </w:r>
          </w:p>
        </w:tc>
        <w:tc>
          <w:tcPr>
            <w:tcW w:w="0" w:type="auto"/>
            <w:gridSpan w:val="4"/>
            <w:tcBorders>
              <w:tl2br w:val="nil"/>
              <w:tr2bl w:val="nil"/>
            </w:tcBorders>
            <w:noWrap w:val="0"/>
            <w:vAlign w:val="center"/>
          </w:tcPr>
          <w:p w14:paraId="21B00B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一般工业固废暂存于</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的一般工业固废暂存间，应落实防渗漏、防雨淋、防扬尘等环境保护要求</w:t>
            </w:r>
            <w:r>
              <w:rPr>
                <w:rFonts w:hint="eastAsia" w:cs="Times New Roman"/>
                <w:color w:val="auto"/>
                <w:sz w:val="21"/>
                <w:szCs w:val="21"/>
                <w:lang w:eastAsia="zh-CN"/>
              </w:rPr>
              <w:t>，</w:t>
            </w:r>
            <w:r>
              <w:rPr>
                <w:rFonts w:hint="eastAsia" w:cs="Times New Roman"/>
                <w:color w:val="auto"/>
                <w:sz w:val="21"/>
                <w:szCs w:val="21"/>
                <w:lang w:val="en-US" w:eastAsia="zh-CN"/>
              </w:rPr>
              <w:t>一般固废</w:t>
            </w:r>
            <w:r>
              <w:rPr>
                <w:rFonts w:hint="default" w:ascii="Times New Roman" w:hAnsi="Times New Roman" w:eastAsia="宋体" w:cs="Times New Roman"/>
                <w:color w:val="auto"/>
                <w:sz w:val="21"/>
                <w:szCs w:val="21"/>
              </w:rPr>
              <w:t>定期综合利用；危险废物暂存于</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rPr>
              <w:t>危废间，危废间设置防雨、防火、防雷、防</w:t>
            </w:r>
            <w:r>
              <w:rPr>
                <w:rFonts w:hint="default" w:ascii="Times New Roman" w:hAnsi="Times New Roman" w:eastAsia="宋体" w:cs="Times New Roman"/>
                <w:color w:val="auto"/>
                <w:sz w:val="21"/>
                <w:szCs w:val="21"/>
                <w:lang w:eastAsia="zh-CN"/>
              </w:rPr>
              <w:t>渗</w:t>
            </w:r>
            <w:r>
              <w:rPr>
                <w:rFonts w:hint="default" w:ascii="Times New Roman" w:hAnsi="Times New Roman" w:eastAsia="宋体" w:cs="Times New Roman"/>
                <w:color w:val="auto"/>
                <w:sz w:val="21"/>
                <w:szCs w:val="21"/>
              </w:rPr>
              <w:t>漏、防扬散装置，配置监控设施、通讯设备、照明设施、消防设施等，并按规定设置相应标志、标牌及标识，危废定期交由资质单位处置；生活垃圾交由环卫部门统一清运处理。</w:t>
            </w:r>
          </w:p>
        </w:tc>
      </w:tr>
      <w:tr w14:paraId="77B08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0"/>
            <w:vAlign w:val="center"/>
          </w:tcPr>
          <w:p w14:paraId="348D43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土壤及地下水污染防治措施</w:t>
            </w:r>
          </w:p>
        </w:tc>
        <w:tc>
          <w:tcPr>
            <w:tcW w:w="0" w:type="auto"/>
            <w:gridSpan w:val="4"/>
            <w:tcBorders>
              <w:tl2br w:val="nil"/>
              <w:tr2bl w:val="nil"/>
            </w:tcBorders>
            <w:noWrap w:val="0"/>
            <w:vAlign w:val="center"/>
          </w:tcPr>
          <w:p w14:paraId="1CC3D128">
            <w:pPr>
              <w:pStyle w:val="40"/>
              <w:adjustRightInd w:val="0"/>
              <w:snapToGrid w:val="0"/>
              <w:spacing w:before="0" w:beforeAutospacing="0" w:after="0" w:afterAutospacing="0" w:line="360" w:lineRule="exact"/>
              <w:ind w:firstLine="420" w:firstLineChars="200"/>
              <w:jc w:val="both"/>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本项目正常生产时车间的跑冒滴漏基本不会下渗到地下水中。室外管道和阀门的跑冒滴漏水量较小。且本项目用地现状为工业用地，确保各项防渗措施得以落实、加强维护和厂区环境管理的前提下，正常工况下对地下水基本无渗漏，污染较小。</w:t>
            </w:r>
          </w:p>
        </w:tc>
      </w:tr>
      <w:tr w14:paraId="3BB05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0"/>
            <w:vAlign w:val="center"/>
          </w:tcPr>
          <w:p w14:paraId="0C8DA6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w:t>
            </w:r>
          </w:p>
          <w:p w14:paraId="2065E4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措施</w:t>
            </w:r>
          </w:p>
        </w:tc>
        <w:tc>
          <w:tcPr>
            <w:tcW w:w="0" w:type="auto"/>
            <w:gridSpan w:val="4"/>
            <w:tcBorders>
              <w:tl2br w:val="nil"/>
              <w:tr2bl w:val="nil"/>
            </w:tcBorders>
            <w:noWrap w:val="0"/>
            <w:vAlign w:val="center"/>
          </w:tcPr>
          <w:p w14:paraId="15A97D4E">
            <w:pPr>
              <w:pStyle w:val="40"/>
              <w:adjustRightInd w:val="0"/>
              <w:snapToGrid w:val="0"/>
              <w:spacing w:before="0" w:beforeAutospacing="0" w:after="0" w:afterAutospacing="0" w:line="360" w:lineRule="exact"/>
              <w:ind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对照《江苏省生态红线区域保护规划》、《江苏省国家级生态保护红线规划》，本项目不处于禁止及限制开发范围内，而本项目产生的生活污水接管进常州市金坛儒林污水处理厂处理，不直接排入外环境水体。因此，本项目对生态无影响。</w:t>
            </w:r>
          </w:p>
        </w:tc>
      </w:tr>
      <w:tr w14:paraId="6A114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noWrap w:val="0"/>
            <w:vAlign w:val="center"/>
          </w:tcPr>
          <w:p w14:paraId="57CB38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w:t>
            </w:r>
          </w:p>
          <w:p w14:paraId="50862D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防范措施</w:t>
            </w:r>
          </w:p>
        </w:tc>
        <w:tc>
          <w:tcPr>
            <w:tcW w:w="0" w:type="auto"/>
            <w:gridSpan w:val="4"/>
            <w:tcBorders>
              <w:tl2br w:val="nil"/>
              <w:tr2bl w:val="nil"/>
            </w:tcBorders>
            <w:noWrap w:val="0"/>
            <w:vAlign w:val="center"/>
          </w:tcPr>
          <w:p w14:paraId="04B12A6A">
            <w:pPr>
              <w:pStyle w:val="40"/>
              <w:adjustRightInd w:val="0"/>
              <w:snapToGrid w:val="0"/>
              <w:spacing w:before="0" w:beforeAutospacing="0" w:after="0" w:afterAutospacing="0" w:line="360" w:lineRule="exact"/>
              <w:ind w:firstLine="420" w:firstLineChars="200"/>
              <w:jc w:val="both"/>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企业在做好相应的风险防范措施的前提下，风险可防控。</w:t>
            </w:r>
          </w:p>
        </w:tc>
      </w:tr>
      <w:tr w14:paraId="19219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0" w:type="auto"/>
            <w:tcBorders>
              <w:tl2br w:val="nil"/>
              <w:tr2bl w:val="nil"/>
            </w:tcBorders>
            <w:noWrap w:val="0"/>
            <w:vAlign w:val="center"/>
          </w:tcPr>
          <w:p w14:paraId="50D1E6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w:t>
            </w:r>
          </w:p>
          <w:p w14:paraId="014E04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管理要求</w:t>
            </w:r>
          </w:p>
        </w:tc>
        <w:tc>
          <w:tcPr>
            <w:tcW w:w="0" w:type="auto"/>
            <w:gridSpan w:val="4"/>
            <w:tcBorders>
              <w:tl2br w:val="nil"/>
              <w:tr2bl w:val="nil"/>
            </w:tcBorders>
            <w:noWrap w:val="0"/>
            <w:vAlign w:val="center"/>
          </w:tcPr>
          <w:p w14:paraId="7C6F8F80">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1）保持与环境保护主管机构的密切联系，及时了解国家、地方对本项目的有关环境保护的法律法规和其他要求，及时向环境保护主管机构反映与项目有关的污染因素、存在的问题、采取的污染控制对策等环境保护方面的内容，听取环境保护主管机构的批示意见；</w:t>
            </w:r>
          </w:p>
          <w:p w14:paraId="7FE9E013">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（2）及时将国家、地方与本项目环境保护有关的法律法规和其他要求向单位负责人汇报，及时向本单位有关机构、人员进行通报，组织职工进行环境保护方面的教育、培训，增强环保意识；</w:t>
            </w:r>
          </w:p>
          <w:p w14:paraId="3BB3E07E">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（3）及时向单位负责人汇报与本项目有关的污染因素、存在问题、采取的污染控制对策、实施情况等，提出改进建议；</w:t>
            </w:r>
          </w:p>
          <w:p w14:paraId="7B6E57ED">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（4）负责制定、监督实施本单位的有关环境保护管理规章制度，负责实施污染控制措施、管理污染治理设施，并进行详细地记录、以备检查；</w:t>
            </w:r>
          </w:p>
          <w:p w14:paraId="57962D9B">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5）按照本报告提出的各项环境保护措施，编制详细的环境保护措施落实计划，明确各污染源位置、环境影响、环境保护措施、落实责任机构（人）等，并将该环境保护计划以书面形式发放给相关人员，以便于各项措施的有效落实；</w:t>
            </w:r>
          </w:p>
          <w:p w14:paraId="09537967">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（6）按《江苏省排污口设置及规范化整治管理办法》(苏环控</w:t>
            </w:r>
            <w:r>
              <w:rPr>
                <w:rFonts w:hint="default" w:ascii="Times New Roman" w:hAnsi="Times New Roman" w:eastAsia="宋体" w:cs="Times New Roman"/>
                <w:color w:val="auto"/>
                <w:spacing w:val="-4"/>
              </w:rPr>
              <w:t>〔</w:t>
            </w:r>
            <w:r>
              <w:rPr>
                <w:rFonts w:hint="default" w:ascii="Times New Roman" w:hAnsi="Times New Roman" w:eastAsia="宋体" w:cs="Times New Roman"/>
                <w:color w:val="auto"/>
                <w:spacing w:val="-4"/>
                <w:lang w:val="en-US" w:eastAsia="zh-CN"/>
              </w:rPr>
              <w:t>1997</w:t>
            </w:r>
            <w:r>
              <w:rPr>
                <w:rFonts w:hint="default" w:ascii="Times New Roman" w:hAnsi="Times New Roman" w:eastAsia="宋体" w:cs="Times New Roman"/>
                <w:color w:val="auto"/>
                <w:spacing w:val="-4"/>
              </w:rPr>
              <w:t>〕</w:t>
            </w:r>
            <w:r>
              <w:rPr>
                <w:rFonts w:hint="default" w:ascii="Times New Roman" w:hAnsi="Times New Roman" w:eastAsia="宋体" w:cs="Times New Roman"/>
                <w:bCs w:val="0"/>
                <w:color w:val="auto"/>
                <w:spacing w:val="0"/>
                <w:kern w:val="2"/>
                <w:sz w:val="21"/>
                <w:szCs w:val="21"/>
                <w:lang w:val="en-US" w:eastAsia="zh-CN" w:bidi="ar-SA"/>
              </w:rPr>
              <w:t>122号)要求，对废气排口、固定噪声污染源、固废临时堆场进行规范化设置；</w:t>
            </w:r>
          </w:p>
          <w:p w14:paraId="38911090">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（7）根据《企业环境信息依法披露管理办法》（部令第24号）要求，向社会公开如下信息：</w:t>
            </w:r>
          </w:p>
          <w:p w14:paraId="63B4FB7A">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①企业基本信息，包括企业生产和生态环境保护等方面的基础信息；</w:t>
            </w:r>
          </w:p>
          <w:p w14:paraId="67861028">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②企业环境管理信息，包括生态环境行政许可、环境保护税、环境污染责任保险、环保信用评价等方面的信息；</w:t>
            </w:r>
          </w:p>
          <w:p w14:paraId="3C19A87F">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③污染物产生、治理与排放信息，包括污染治理设施、污染物排放，有毒有害物质排放，工业固体废物和危险废物产生、贮存、流向、利用、处置、自行监测等方面的信息；</w:t>
            </w:r>
          </w:p>
          <w:p w14:paraId="39656CBF">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④碳排放信息、包括排放量、排放设施等方面的信息；</w:t>
            </w:r>
          </w:p>
          <w:p w14:paraId="11580472">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⑤生态环境应急信息，包括突发环境事件应急预案、重污染天气应急响应等方面的信息；</w:t>
            </w:r>
          </w:p>
          <w:p w14:paraId="294AC76A">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⑥生态环境违法信息；</w:t>
            </w:r>
          </w:p>
          <w:p w14:paraId="73839787">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⑦本年度临时环境信息依法披露情况；</w:t>
            </w:r>
          </w:p>
          <w:p w14:paraId="74A3DD3C">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r>
              <w:rPr>
                <w:rFonts w:hint="default" w:ascii="Times New Roman" w:hAnsi="Times New Roman" w:eastAsia="宋体" w:cs="Times New Roman"/>
                <w:bCs w:val="0"/>
                <w:color w:val="auto"/>
                <w:spacing w:val="0"/>
                <w:kern w:val="2"/>
                <w:sz w:val="21"/>
                <w:szCs w:val="21"/>
                <w:lang w:val="en-US" w:eastAsia="zh-CN" w:bidi="ar-SA"/>
              </w:rPr>
              <w:t>⑧法律法规规定的其他环境信息。</w:t>
            </w:r>
          </w:p>
          <w:p w14:paraId="7E4F76AC">
            <w:pPr>
              <w:pStyle w:val="380"/>
              <w:spacing w:line="360" w:lineRule="exact"/>
              <w:ind w:left="0" w:leftChars="0" w:right="-52" w:rightChars="-25" w:firstLine="0" w:firstLineChars="0"/>
              <w:jc w:val="left"/>
              <w:rPr>
                <w:rFonts w:hint="default" w:ascii="Times New Roman" w:hAnsi="Times New Roman" w:eastAsia="宋体" w:cs="Times New Roman"/>
                <w:bCs w:val="0"/>
                <w:color w:val="auto"/>
                <w:spacing w:val="0"/>
                <w:kern w:val="2"/>
                <w:sz w:val="21"/>
                <w:szCs w:val="21"/>
                <w:lang w:val="en-US" w:eastAsia="zh-CN" w:bidi="ar-SA"/>
              </w:rPr>
            </w:pPr>
          </w:p>
          <w:p w14:paraId="6BF1A74F">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29FD01F9">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38B6046F">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4A7A7AAC">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34C08E8A">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79F7B709">
            <w:pPr>
              <w:pStyle w:val="380"/>
              <w:spacing w:line="360" w:lineRule="exact"/>
              <w:ind w:left="-52" w:leftChars="-25" w:right="-52" w:rightChars="-25" w:firstLine="420" w:firstLineChars="200"/>
              <w:jc w:val="left"/>
              <w:rPr>
                <w:rFonts w:hint="default" w:ascii="Times New Roman" w:hAnsi="Times New Roman" w:eastAsia="宋体" w:cs="Times New Roman"/>
                <w:bCs w:val="0"/>
                <w:color w:val="auto"/>
                <w:spacing w:val="0"/>
                <w:kern w:val="2"/>
                <w:sz w:val="21"/>
                <w:szCs w:val="21"/>
                <w:lang w:val="en-US" w:eastAsia="zh-CN" w:bidi="ar-SA"/>
              </w:rPr>
            </w:pPr>
          </w:p>
          <w:p w14:paraId="7C45D26E">
            <w:pPr>
              <w:pStyle w:val="380"/>
              <w:spacing w:line="360" w:lineRule="exact"/>
              <w:ind w:left="0" w:leftChars="0" w:right="-52" w:rightChars="-25" w:firstLine="0" w:firstLineChars="0"/>
              <w:jc w:val="left"/>
              <w:rPr>
                <w:rFonts w:hint="default" w:ascii="Times New Roman" w:hAnsi="Times New Roman" w:eastAsia="宋体" w:cs="Times New Roman"/>
                <w:bCs w:val="0"/>
                <w:color w:val="auto"/>
                <w:spacing w:val="0"/>
                <w:kern w:val="2"/>
                <w:sz w:val="21"/>
                <w:szCs w:val="21"/>
                <w:lang w:val="en-US" w:eastAsia="zh-CN" w:bidi="ar-SA"/>
              </w:rPr>
            </w:pPr>
          </w:p>
        </w:tc>
      </w:tr>
    </w:tbl>
    <w:p w14:paraId="6410713D">
      <w:pPr>
        <w:pStyle w:val="54"/>
        <w:rPr>
          <w:rFonts w:hint="default" w:ascii="Times New Roman" w:hAnsi="Times New Roman" w:eastAsia="宋体" w:cs="Times New Roman"/>
          <w:color w:val="auto"/>
        </w:rPr>
        <w:sectPr>
          <w:pgSz w:w="11907" w:h="16840"/>
          <w:pgMar w:top="1440" w:right="1080" w:bottom="1440" w:left="1080" w:header="964" w:footer="964" w:gutter="0"/>
          <w:pgBorders w:offsetFrom="page">
            <w:top w:val="none" w:sz="0" w:space="0"/>
            <w:left w:val="none" w:sz="0" w:space="0"/>
            <w:bottom w:val="none" w:sz="0" w:space="0"/>
            <w:right w:val="none" w:sz="0" w:space="0"/>
          </w:pgBorders>
          <w:cols w:space="720" w:num="1"/>
          <w:docGrid w:type="linesAndChars" w:linePitch="312" w:charSpace="0"/>
        </w:sectPr>
      </w:pPr>
    </w:p>
    <w:p w14:paraId="46A8251F">
      <w:pPr>
        <w:pStyle w:val="3"/>
        <w:spacing w:before="0" w:after="0"/>
        <w:rPr>
          <w:rFonts w:hint="default" w:ascii="Times New Roman" w:hAnsi="Times New Roman" w:eastAsia="宋体" w:cs="Times New Roman"/>
          <w:color w:val="auto"/>
        </w:rPr>
      </w:pPr>
      <w:r>
        <w:rPr>
          <w:rFonts w:hint="default" w:ascii="Times New Roman" w:hAnsi="Times New Roman" w:eastAsia="宋体" w:cs="Times New Roman"/>
          <w:color w:val="auto"/>
        </w:rPr>
        <w:t>六、结论</w:t>
      </w:r>
    </w:p>
    <w:tbl>
      <w:tblPr>
        <w:tblStyle w:val="44"/>
        <w:tblW w:w="97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28"/>
      </w:tblGrid>
      <w:tr w14:paraId="62C653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41" w:hRule="atLeast"/>
          <w:jc w:val="center"/>
        </w:trPr>
        <w:tc>
          <w:tcPr>
            <w:tcW w:w="9728" w:type="dxa"/>
            <w:noWrap w:val="0"/>
            <w:vAlign w:val="top"/>
          </w:tcPr>
          <w:p w14:paraId="6273FF38">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建设符合国家、地方产业政策；项目用地为规划工业用地，项目所采用的污染防治措施技术经济可行，能保证各种污染物稳定达标排放；废气经处理后均达标排放，总量在可控制的范围内平衡，符合总量控制要求；针对项目特点提出了具体的、有针对性的风险防范措施、环境管理要求及监测计划。</w:t>
            </w:r>
          </w:p>
          <w:p w14:paraId="600E6BB3">
            <w:pPr>
              <w:ind w:firstLine="42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综上，在落实本报告中的各项环保措施以及各级环保主管部门管理要求，严格执行环保“三同时”的前提下，从环保角度分析，本项目建设具有环境可行性。</w:t>
            </w:r>
          </w:p>
          <w:p w14:paraId="50407AA5">
            <w:pPr>
              <w:widowControl/>
              <w:snapToGrid w:val="0"/>
              <w:ind w:firstLine="422"/>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同时，拟建项目在设计、建设、运行全过程中还必须满足消防、安全、职业卫生等相关管理要求，进行规范化的设计、施工和运行管理。</w:t>
            </w:r>
          </w:p>
          <w:p w14:paraId="2086C47A">
            <w:pPr>
              <w:ind w:firstLine="420"/>
              <w:rPr>
                <w:rFonts w:hint="default" w:ascii="Times New Roman" w:hAnsi="Times New Roman" w:eastAsia="宋体" w:cs="Times New Roman"/>
                <w:color w:val="auto"/>
              </w:rPr>
            </w:pPr>
          </w:p>
          <w:p w14:paraId="0638C6F5">
            <w:pPr>
              <w:pStyle w:val="5"/>
              <w:ind w:firstLine="482"/>
              <w:rPr>
                <w:rFonts w:hint="default" w:ascii="Times New Roman" w:hAnsi="Times New Roman" w:eastAsia="宋体" w:cs="Times New Roman"/>
                <w:color w:val="auto"/>
                <w:sz w:val="24"/>
              </w:rPr>
            </w:pPr>
          </w:p>
          <w:p w14:paraId="4D61CB7A">
            <w:pPr>
              <w:ind w:firstLine="480"/>
              <w:rPr>
                <w:rFonts w:hint="default" w:ascii="Times New Roman" w:hAnsi="Times New Roman" w:eastAsia="宋体" w:cs="Times New Roman"/>
                <w:color w:val="auto"/>
                <w:sz w:val="24"/>
              </w:rPr>
            </w:pPr>
          </w:p>
          <w:p w14:paraId="0085378E">
            <w:pPr>
              <w:pStyle w:val="5"/>
              <w:ind w:left="0" w:leftChars="0" w:firstLine="0" w:firstLineChars="0"/>
              <w:rPr>
                <w:rFonts w:hint="default" w:ascii="Times New Roman" w:hAnsi="Times New Roman" w:eastAsia="宋体" w:cs="Times New Roman"/>
                <w:color w:val="auto"/>
                <w:sz w:val="24"/>
              </w:rPr>
            </w:pPr>
          </w:p>
          <w:p w14:paraId="214C2A5F">
            <w:pPr>
              <w:rPr>
                <w:rFonts w:hint="default" w:ascii="Times New Roman" w:hAnsi="Times New Roman" w:eastAsia="宋体" w:cs="Times New Roman"/>
                <w:color w:val="auto"/>
                <w:sz w:val="24"/>
              </w:rPr>
            </w:pPr>
          </w:p>
          <w:p w14:paraId="64C56C9E">
            <w:pPr>
              <w:rPr>
                <w:rFonts w:hint="default" w:ascii="Times New Roman" w:hAnsi="Times New Roman" w:eastAsia="宋体" w:cs="Times New Roman"/>
                <w:color w:val="auto"/>
                <w:sz w:val="24"/>
              </w:rPr>
            </w:pPr>
          </w:p>
          <w:p w14:paraId="1A1C1EE4">
            <w:pPr>
              <w:ind w:firstLine="480"/>
              <w:rPr>
                <w:rFonts w:hint="default" w:ascii="Times New Roman" w:hAnsi="Times New Roman" w:eastAsia="宋体" w:cs="Times New Roman"/>
                <w:color w:val="auto"/>
                <w:sz w:val="24"/>
              </w:rPr>
            </w:pPr>
          </w:p>
          <w:p w14:paraId="7B5205F5">
            <w:pPr>
              <w:pStyle w:val="5"/>
              <w:ind w:firstLine="0" w:firstLineChars="0"/>
              <w:rPr>
                <w:rFonts w:hint="default" w:ascii="Times New Roman" w:hAnsi="Times New Roman" w:eastAsia="宋体" w:cs="Times New Roman"/>
                <w:color w:val="auto"/>
                <w:sz w:val="24"/>
              </w:rPr>
            </w:pPr>
          </w:p>
        </w:tc>
      </w:tr>
    </w:tbl>
    <w:p w14:paraId="358C3B99">
      <w:pPr>
        <w:ind w:firstLine="482"/>
        <w:rPr>
          <w:rFonts w:hint="default" w:ascii="Times New Roman" w:hAnsi="Times New Roman" w:eastAsia="宋体" w:cs="Times New Roman"/>
          <w:b/>
          <w:color w:val="auto"/>
          <w:sz w:val="24"/>
        </w:rPr>
        <w:sectPr>
          <w:pgSz w:w="11921" w:h="16838"/>
          <w:pgMar w:top="1440" w:right="1080" w:bottom="1440" w:left="108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44F46874">
      <w:pPr>
        <w:pStyle w:val="3"/>
        <w:spacing w:before="0" w:after="0"/>
        <w:jc w:val="left"/>
        <w:rPr>
          <w:rFonts w:hint="default" w:ascii="Times New Roman" w:hAnsi="Times New Roman" w:eastAsia="宋体" w:cs="Times New Roman"/>
          <w:color w:val="auto"/>
        </w:rPr>
      </w:pPr>
      <w:r>
        <w:rPr>
          <w:rFonts w:hint="default" w:ascii="Times New Roman" w:hAnsi="Times New Roman" w:eastAsia="宋体" w:cs="Times New Roman"/>
          <w:color w:val="auto"/>
        </w:rPr>
        <w:t>附表</w:t>
      </w:r>
    </w:p>
    <w:p w14:paraId="23F07F88">
      <w:pPr>
        <w:jc w:val="center"/>
        <w:rPr>
          <w:rFonts w:hint="default" w:ascii="Times New Roman" w:hAnsi="Times New Roman" w:eastAsia="宋体" w:cs="Times New Roman"/>
          <w:b/>
          <w:snapToGrid w:val="0"/>
          <w:color w:val="auto"/>
          <w:sz w:val="32"/>
          <w:szCs w:val="32"/>
        </w:rPr>
      </w:pPr>
      <w:r>
        <w:rPr>
          <w:rFonts w:hint="default" w:ascii="Times New Roman" w:hAnsi="Times New Roman" w:eastAsia="宋体" w:cs="Times New Roman"/>
          <w:b/>
          <w:snapToGrid w:val="0"/>
          <w:color w:val="auto"/>
          <w:sz w:val="32"/>
          <w:szCs w:val="32"/>
        </w:rPr>
        <w:t>建设项目污染物排放量汇总表  单位：t/a</w:t>
      </w:r>
    </w:p>
    <w:tbl>
      <w:tblPr>
        <w:tblStyle w:val="4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291"/>
        <w:gridCol w:w="1639"/>
        <w:gridCol w:w="1591"/>
        <w:gridCol w:w="1707"/>
        <w:gridCol w:w="1710"/>
        <w:gridCol w:w="1558"/>
        <w:gridCol w:w="1776"/>
        <w:gridCol w:w="1212"/>
      </w:tblGrid>
      <w:tr w14:paraId="2FAE92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04" w:type="dxa"/>
            <w:tcBorders>
              <w:tl2br w:val="nil"/>
              <w:tr2bl w:val="nil"/>
            </w:tcBorders>
            <w:noWrap w:val="0"/>
            <w:tcMar>
              <w:left w:w="28" w:type="dxa"/>
              <w:right w:w="28" w:type="dxa"/>
            </w:tcMar>
            <w:vAlign w:val="center"/>
          </w:tcPr>
          <w:p w14:paraId="0882D952">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lang w:val="en-US" w:eastAsia="zh-CN"/>
              </w:rPr>
              <w:t xml:space="preserve">       </w:t>
            </w:r>
            <w:r>
              <w:rPr>
                <w:rFonts w:hint="default" w:ascii="Times New Roman" w:hAnsi="Times New Roman" w:eastAsia="宋体" w:cs="Times New Roman"/>
                <w:b/>
                <w:bCs/>
                <w:snapToGrid w:val="0"/>
                <w:color w:val="auto"/>
                <w:spacing w:val="-6"/>
                <w:kern w:val="21"/>
                <w:sz w:val="21"/>
                <w:szCs w:val="21"/>
              </w:rPr>
              <w:t>项目</w:t>
            </w:r>
          </w:p>
          <w:p w14:paraId="4BDDB065">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both"/>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分类</w:t>
            </w:r>
          </w:p>
        </w:tc>
        <w:tc>
          <w:tcPr>
            <w:tcW w:w="1291" w:type="dxa"/>
            <w:tcBorders>
              <w:tl2br w:val="nil"/>
              <w:tr2bl w:val="nil"/>
            </w:tcBorders>
            <w:noWrap w:val="0"/>
            <w:tcMar>
              <w:left w:w="28" w:type="dxa"/>
              <w:right w:w="28" w:type="dxa"/>
            </w:tcMar>
            <w:vAlign w:val="center"/>
          </w:tcPr>
          <w:p w14:paraId="3ABC8814">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污染物名称</w:t>
            </w:r>
          </w:p>
        </w:tc>
        <w:tc>
          <w:tcPr>
            <w:tcW w:w="1639" w:type="dxa"/>
            <w:tcBorders>
              <w:tl2br w:val="nil"/>
              <w:tr2bl w:val="nil"/>
            </w:tcBorders>
            <w:noWrap w:val="0"/>
            <w:tcMar>
              <w:left w:w="28" w:type="dxa"/>
              <w:right w:w="28" w:type="dxa"/>
            </w:tcMar>
            <w:vAlign w:val="center"/>
          </w:tcPr>
          <w:p w14:paraId="1E479518">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现有工程排放量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t>固体废物产生量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fldChar w:fldCharType="begin"/>
            </w:r>
            <w:r>
              <w:rPr>
                <w:rFonts w:hint="default" w:ascii="Times New Roman" w:hAnsi="Times New Roman" w:eastAsia="宋体" w:cs="Times New Roman"/>
                <w:b/>
                <w:bCs/>
                <w:snapToGrid w:val="0"/>
                <w:color w:val="auto"/>
                <w:spacing w:val="-6"/>
                <w:kern w:val="21"/>
                <w:sz w:val="21"/>
                <w:szCs w:val="21"/>
              </w:rPr>
              <w:instrText xml:space="preserve"> = 1 \* GB3 \* MERGEFORMAT </w:instrText>
            </w:r>
            <w:r>
              <w:rPr>
                <w:rFonts w:hint="default" w:ascii="Times New Roman" w:hAnsi="Times New Roman" w:eastAsia="宋体" w:cs="Times New Roman"/>
                <w:b/>
                <w:bCs/>
                <w:snapToGrid w:val="0"/>
                <w:color w:val="auto"/>
                <w:spacing w:val="-6"/>
                <w:kern w:val="21"/>
                <w:sz w:val="21"/>
                <w:szCs w:val="21"/>
              </w:rPr>
              <w:fldChar w:fldCharType="separate"/>
            </w:r>
            <w:r>
              <w:rPr>
                <w:rFonts w:hint="default" w:ascii="Times New Roman" w:hAnsi="Times New Roman" w:eastAsia="宋体" w:cs="Times New Roman"/>
                <w:b/>
                <w:bCs/>
                <w:color w:val="auto"/>
                <w:sz w:val="21"/>
                <w:szCs w:val="21"/>
              </w:rPr>
              <w:t>①</w:t>
            </w:r>
            <w:r>
              <w:rPr>
                <w:rFonts w:hint="default" w:ascii="Times New Roman" w:hAnsi="Times New Roman" w:eastAsia="宋体" w:cs="Times New Roman"/>
                <w:b/>
                <w:bCs/>
                <w:snapToGrid w:val="0"/>
                <w:color w:val="auto"/>
                <w:spacing w:val="-6"/>
                <w:kern w:val="21"/>
                <w:sz w:val="21"/>
                <w:szCs w:val="21"/>
              </w:rPr>
              <w:fldChar w:fldCharType="end"/>
            </w:r>
          </w:p>
        </w:tc>
        <w:tc>
          <w:tcPr>
            <w:tcW w:w="1591" w:type="dxa"/>
            <w:tcBorders>
              <w:tl2br w:val="nil"/>
              <w:tr2bl w:val="nil"/>
            </w:tcBorders>
            <w:noWrap w:val="0"/>
            <w:tcMar>
              <w:left w:w="28" w:type="dxa"/>
              <w:right w:w="28" w:type="dxa"/>
            </w:tcMar>
            <w:vAlign w:val="center"/>
          </w:tcPr>
          <w:p w14:paraId="06817D3E">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现有工程许可排放量</w:t>
            </w:r>
            <w:r>
              <w:rPr>
                <w:rFonts w:hint="default" w:ascii="Times New Roman" w:hAnsi="Times New Roman" w:eastAsia="宋体" w:cs="Times New Roman"/>
                <w:b/>
                <w:bCs/>
                <w:snapToGrid w:val="0"/>
                <w:color w:val="auto"/>
                <w:spacing w:val="-6"/>
                <w:kern w:val="21"/>
                <w:sz w:val="21"/>
                <w:szCs w:val="21"/>
              </w:rPr>
              <w:fldChar w:fldCharType="begin"/>
            </w:r>
            <w:r>
              <w:rPr>
                <w:rFonts w:hint="default" w:ascii="Times New Roman" w:hAnsi="Times New Roman" w:eastAsia="宋体" w:cs="Times New Roman"/>
                <w:b/>
                <w:bCs/>
                <w:snapToGrid w:val="0"/>
                <w:color w:val="auto"/>
                <w:spacing w:val="-6"/>
                <w:kern w:val="21"/>
                <w:sz w:val="21"/>
                <w:szCs w:val="21"/>
              </w:rPr>
              <w:instrText xml:space="preserve"> = 2 \* GB3 \* MERGEFORMAT </w:instrText>
            </w:r>
            <w:r>
              <w:rPr>
                <w:rFonts w:hint="default" w:ascii="Times New Roman" w:hAnsi="Times New Roman" w:eastAsia="宋体" w:cs="Times New Roman"/>
                <w:b/>
                <w:bCs/>
                <w:snapToGrid w:val="0"/>
                <w:color w:val="auto"/>
                <w:spacing w:val="-6"/>
                <w:kern w:val="21"/>
                <w:sz w:val="21"/>
                <w:szCs w:val="21"/>
              </w:rPr>
              <w:fldChar w:fldCharType="separate"/>
            </w:r>
            <w:r>
              <w:rPr>
                <w:rFonts w:hint="default" w:ascii="Times New Roman" w:hAnsi="Times New Roman" w:eastAsia="宋体" w:cs="Times New Roman"/>
                <w:b/>
                <w:bCs/>
                <w:snapToGrid w:val="0"/>
                <w:color w:val="auto"/>
                <w:spacing w:val="-6"/>
                <w:kern w:val="21"/>
                <w:sz w:val="21"/>
                <w:szCs w:val="21"/>
              </w:rPr>
              <w:t>②</w:t>
            </w:r>
            <w:r>
              <w:rPr>
                <w:rFonts w:hint="default" w:ascii="Times New Roman" w:hAnsi="Times New Roman" w:eastAsia="宋体" w:cs="Times New Roman"/>
                <w:b/>
                <w:bCs/>
                <w:snapToGrid w:val="0"/>
                <w:color w:val="auto"/>
                <w:spacing w:val="-6"/>
                <w:kern w:val="21"/>
                <w:sz w:val="21"/>
                <w:szCs w:val="21"/>
              </w:rPr>
              <w:fldChar w:fldCharType="end"/>
            </w:r>
          </w:p>
        </w:tc>
        <w:tc>
          <w:tcPr>
            <w:tcW w:w="1707" w:type="dxa"/>
            <w:tcBorders>
              <w:tl2br w:val="nil"/>
              <w:tr2bl w:val="nil"/>
            </w:tcBorders>
            <w:noWrap w:val="0"/>
            <w:tcMar>
              <w:left w:w="28" w:type="dxa"/>
              <w:right w:w="28" w:type="dxa"/>
            </w:tcMar>
            <w:vAlign w:val="center"/>
          </w:tcPr>
          <w:p w14:paraId="108DCA9A">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在建工程排放量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t>固体废物产生量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fldChar w:fldCharType="begin"/>
            </w:r>
            <w:r>
              <w:rPr>
                <w:rFonts w:hint="default" w:ascii="Times New Roman" w:hAnsi="Times New Roman" w:eastAsia="宋体" w:cs="Times New Roman"/>
                <w:b/>
                <w:bCs/>
                <w:snapToGrid w:val="0"/>
                <w:color w:val="auto"/>
                <w:spacing w:val="-6"/>
                <w:kern w:val="21"/>
                <w:sz w:val="21"/>
                <w:szCs w:val="21"/>
              </w:rPr>
              <w:instrText xml:space="preserve"> = 3 \* GB3 \* MERGEFORMAT </w:instrText>
            </w:r>
            <w:r>
              <w:rPr>
                <w:rFonts w:hint="default" w:ascii="Times New Roman" w:hAnsi="Times New Roman" w:eastAsia="宋体" w:cs="Times New Roman"/>
                <w:b/>
                <w:bCs/>
                <w:snapToGrid w:val="0"/>
                <w:color w:val="auto"/>
                <w:spacing w:val="-6"/>
                <w:kern w:val="21"/>
                <w:sz w:val="21"/>
                <w:szCs w:val="21"/>
              </w:rPr>
              <w:fldChar w:fldCharType="separate"/>
            </w:r>
            <w:r>
              <w:rPr>
                <w:rFonts w:hint="default" w:ascii="Times New Roman" w:hAnsi="Times New Roman" w:eastAsia="宋体" w:cs="Times New Roman"/>
                <w:b/>
                <w:bCs/>
                <w:color w:val="auto"/>
                <w:sz w:val="21"/>
                <w:szCs w:val="21"/>
              </w:rPr>
              <w:t>③</w:t>
            </w:r>
            <w:r>
              <w:rPr>
                <w:rFonts w:hint="default" w:ascii="Times New Roman" w:hAnsi="Times New Roman" w:eastAsia="宋体" w:cs="Times New Roman"/>
                <w:b/>
                <w:bCs/>
                <w:snapToGrid w:val="0"/>
                <w:color w:val="auto"/>
                <w:spacing w:val="-6"/>
                <w:kern w:val="21"/>
                <w:sz w:val="21"/>
                <w:szCs w:val="21"/>
              </w:rPr>
              <w:fldChar w:fldCharType="end"/>
            </w:r>
          </w:p>
        </w:tc>
        <w:tc>
          <w:tcPr>
            <w:tcW w:w="1710" w:type="dxa"/>
            <w:tcBorders>
              <w:tl2br w:val="nil"/>
              <w:tr2bl w:val="nil"/>
            </w:tcBorders>
            <w:noWrap w:val="0"/>
            <w:tcMar>
              <w:left w:w="28" w:type="dxa"/>
              <w:right w:w="28" w:type="dxa"/>
            </w:tcMar>
            <w:vAlign w:val="center"/>
          </w:tcPr>
          <w:p w14:paraId="555B5AE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本项目排放量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t>固体废物产生量</w:t>
            </w:r>
            <w:r>
              <w:rPr>
                <w:rFonts w:hint="default" w:ascii="Times New Roman" w:hAnsi="Times New Roman" w:eastAsia="宋体" w:cs="Times New Roman"/>
                <w:b/>
                <w:bCs/>
                <w:snapToGrid w:val="0"/>
                <w:color w:val="auto"/>
                <w:spacing w:val="-6"/>
                <w:kern w:val="21"/>
                <w:sz w:val="21"/>
                <w:szCs w:val="21"/>
                <w:lang w:eastAsia="zh-CN"/>
              </w:rPr>
              <w:t>）</w:t>
            </w:r>
            <w:r>
              <w:rPr>
                <w:rFonts w:hint="default" w:ascii="Times New Roman" w:hAnsi="Times New Roman" w:eastAsia="宋体" w:cs="Times New Roman"/>
                <w:b/>
                <w:bCs/>
                <w:snapToGrid w:val="0"/>
                <w:color w:val="auto"/>
                <w:spacing w:val="-6"/>
                <w:kern w:val="21"/>
                <w:sz w:val="21"/>
                <w:szCs w:val="21"/>
              </w:rPr>
              <w:fldChar w:fldCharType="begin"/>
            </w:r>
            <w:r>
              <w:rPr>
                <w:rFonts w:hint="default" w:ascii="Times New Roman" w:hAnsi="Times New Roman" w:eastAsia="宋体" w:cs="Times New Roman"/>
                <w:b/>
                <w:bCs/>
                <w:snapToGrid w:val="0"/>
                <w:color w:val="auto"/>
                <w:spacing w:val="-6"/>
                <w:kern w:val="21"/>
                <w:sz w:val="21"/>
                <w:szCs w:val="21"/>
              </w:rPr>
              <w:instrText xml:space="preserve"> = 4 \* GB3 \* MERGEFORMAT </w:instrText>
            </w:r>
            <w:r>
              <w:rPr>
                <w:rFonts w:hint="default" w:ascii="Times New Roman" w:hAnsi="Times New Roman" w:eastAsia="宋体" w:cs="Times New Roman"/>
                <w:b/>
                <w:bCs/>
                <w:snapToGrid w:val="0"/>
                <w:color w:val="auto"/>
                <w:spacing w:val="-6"/>
                <w:kern w:val="21"/>
                <w:sz w:val="21"/>
                <w:szCs w:val="21"/>
              </w:rPr>
              <w:fldChar w:fldCharType="separate"/>
            </w:r>
            <w:r>
              <w:rPr>
                <w:rFonts w:hint="default" w:ascii="Times New Roman" w:hAnsi="Times New Roman" w:eastAsia="宋体" w:cs="Times New Roman"/>
                <w:b/>
                <w:bCs/>
                <w:color w:val="auto"/>
                <w:sz w:val="21"/>
                <w:szCs w:val="21"/>
              </w:rPr>
              <w:t>④</w:t>
            </w:r>
            <w:r>
              <w:rPr>
                <w:rFonts w:hint="default" w:ascii="Times New Roman" w:hAnsi="Times New Roman" w:eastAsia="宋体" w:cs="Times New Roman"/>
                <w:b/>
                <w:bCs/>
                <w:snapToGrid w:val="0"/>
                <w:color w:val="auto"/>
                <w:spacing w:val="-6"/>
                <w:kern w:val="21"/>
                <w:sz w:val="21"/>
                <w:szCs w:val="21"/>
              </w:rPr>
              <w:fldChar w:fldCharType="end"/>
            </w:r>
          </w:p>
        </w:tc>
        <w:tc>
          <w:tcPr>
            <w:tcW w:w="1558" w:type="dxa"/>
            <w:tcBorders>
              <w:tl2br w:val="nil"/>
              <w:tr2bl w:val="nil"/>
            </w:tcBorders>
            <w:noWrap w:val="0"/>
            <w:tcMar>
              <w:left w:w="28" w:type="dxa"/>
              <w:right w:w="28" w:type="dxa"/>
            </w:tcMar>
            <w:vAlign w:val="center"/>
          </w:tcPr>
          <w:p w14:paraId="17B9F953">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16"/>
                <w:kern w:val="21"/>
                <w:sz w:val="21"/>
                <w:szCs w:val="21"/>
              </w:rPr>
            </w:pPr>
            <w:r>
              <w:rPr>
                <w:rFonts w:hint="default" w:ascii="Times New Roman" w:hAnsi="Times New Roman" w:eastAsia="宋体" w:cs="Times New Roman"/>
                <w:b/>
                <w:bCs/>
                <w:snapToGrid w:val="0"/>
                <w:color w:val="auto"/>
                <w:spacing w:val="-16"/>
                <w:kern w:val="21"/>
                <w:sz w:val="21"/>
                <w:szCs w:val="21"/>
              </w:rPr>
              <w:t>以新带老削减量</w:t>
            </w:r>
            <w:r>
              <w:rPr>
                <w:rFonts w:hint="default" w:ascii="Times New Roman" w:hAnsi="Times New Roman" w:eastAsia="宋体" w:cs="Times New Roman"/>
                <w:b/>
                <w:bCs/>
                <w:snapToGrid w:val="0"/>
                <w:color w:val="auto"/>
                <w:spacing w:val="-16"/>
                <w:kern w:val="21"/>
                <w:sz w:val="21"/>
                <w:szCs w:val="21"/>
                <w:lang w:eastAsia="zh-CN"/>
              </w:rPr>
              <w:t>（</w:t>
            </w:r>
            <w:r>
              <w:rPr>
                <w:rFonts w:hint="default" w:ascii="Times New Roman" w:hAnsi="Times New Roman" w:eastAsia="宋体" w:cs="Times New Roman"/>
                <w:b/>
                <w:bCs/>
                <w:snapToGrid w:val="0"/>
                <w:color w:val="auto"/>
                <w:spacing w:val="-16"/>
                <w:kern w:val="21"/>
                <w:sz w:val="21"/>
                <w:szCs w:val="21"/>
              </w:rPr>
              <w:t>新建项目不填</w:t>
            </w:r>
            <w:r>
              <w:rPr>
                <w:rFonts w:hint="default" w:ascii="Times New Roman" w:hAnsi="Times New Roman" w:eastAsia="宋体" w:cs="Times New Roman"/>
                <w:b/>
                <w:bCs/>
                <w:snapToGrid w:val="0"/>
                <w:color w:val="auto"/>
                <w:spacing w:val="-16"/>
                <w:kern w:val="21"/>
                <w:sz w:val="21"/>
                <w:szCs w:val="21"/>
                <w:lang w:eastAsia="zh-CN"/>
              </w:rPr>
              <w:t>）</w:t>
            </w:r>
            <w:r>
              <w:rPr>
                <w:rFonts w:hint="default" w:ascii="Times New Roman" w:hAnsi="Times New Roman" w:eastAsia="宋体" w:cs="Times New Roman"/>
                <w:b/>
                <w:bCs/>
                <w:snapToGrid w:val="0"/>
                <w:color w:val="auto"/>
                <w:spacing w:val="-16"/>
                <w:kern w:val="21"/>
                <w:sz w:val="21"/>
                <w:szCs w:val="21"/>
              </w:rPr>
              <w:fldChar w:fldCharType="begin"/>
            </w:r>
            <w:r>
              <w:rPr>
                <w:rFonts w:hint="default" w:ascii="Times New Roman" w:hAnsi="Times New Roman" w:eastAsia="宋体" w:cs="Times New Roman"/>
                <w:b/>
                <w:bCs/>
                <w:snapToGrid w:val="0"/>
                <w:color w:val="auto"/>
                <w:spacing w:val="-16"/>
                <w:kern w:val="21"/>
                <w:sz w:val="21"/>
                <w:szCs w:val="21"/>
              </w:rPr>
              <w:instrText xml:space="preserve"> = 5 \* GB3 \* MERGEFORMAT </w:instrText>
            </w:r>
            <w:r>
              <w:rPr>
                <w:rFonts w:hint="default" w:ascii="Times New Roman" w:hAnsi="Times New Roman" w:eastAsia="宋体" w:cs="Times New Roman"/>
                <w:b/>
                <w:bCs/>
                <w:snapToGrid w:val="0"/>
                <w:color w:val="auto"/>
                <w:spacing w:val="-16"/>
                <w:kern w:val="21"/>
                <w:sz w:val="21"/>
                <w:szCs w:val="21"/>
              </w:rPr>
              <w:fldChar w:fldCharType="separate"/>
            </w:r>
            <w:r>
              <w:rPr>
                <w:rFonts w:hint="default" w:ascii="Times New Roman" w:hAnsi="Times New Roman" w:eastAsia="宋体" w:cs="Times New Roman"/>
                <w:b/>
                <w:bCs/>
                <w:color w:val="auto"/>
                <w:sz w:val="21"/>
                <w:szCs w:val="21"/>
              </w:rPr>
              <w:t>⑤</w:t>
            </w:r>
            <w:r>
              <w:rPr>
                <w:rFonts w:hint="default" w:ascii="Times New Roman" w:hAnsi="Times New Roman" w:eastAsia="宋体" w:cs="Times New Roman"/>
                <w:b/>
                <w:bCs/>
                <w:snapToGrid w:val="0"/>
                <w:color w:val="auto"/>
                <w:spacing w:val="-16"/>
                <w:kern w:val="21"/>
                <w:sz w:val="21"/>
                <w:szCs w:val="21"/>
              </w:rPr>
              <w:fldChar w:fldCharType="end"/>
            </w:r>
          </w:p>
        </w:tc>
        <w:tc>
          <w:tcPr>
            <w:tcW w:w="1776" w:type="dxa"/>
            <w:tcBorders>
              <w:tl2br w:val="nil"/>
              <w:tr2bl w:val="nil"/>
            </w:tcBorders>
            <w:noWrap w:val="0"/>
            <w:tcMar>
              <w:left w:w="28" w:type="dxa"/>
              <w:right w:w="28" w:type="dxa"/>
            </w:tcMar>
            <w:vAlign w:val="center"/>
          </w:tcPr>
          <w:p w14:paraId="6256A962">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16"/>
                <w:kern w:val="21"/>
                <w:sz w:val="21"/>
                <w:szCs w:val="21"/>
              </w:rPr>
            </w:pPr>
            <w:r>
              <w:rPr>
                <w:rFonts w:hint="default" w:ascii="Times New Roman" w:hAnsi="Times New Roman" w:eastAsia="宋体" w:cs="Times New Roman"/>
                <w:b/>
                <w:bCs/>
                <w:snapToGrid w:val="0"/>
                <w:color w:val="auto"/>
                <w:spacing w:val="-16"/>
                <w:kern w:val="21"/>
                <w:sz w:val="21"/>
                <w:szCs w:val="21"/>
              </w:rPr>
              <w:t>本项目建成后全厂排放量</w:t>
            </w:r>
            <w:r>
              <w:rPr>
                <w:rFonts w:hint="default" w:ascii="Times New Roman" w:hAnsi="Times New Roman" w:eastAsia="宋体" w:cs="Times New Roman"/>
                <w:b/>
                <w:bCs/>
                <w:snapToGrid w:val="0"/>
                <w:color w:val="auto"/>
                <w:spacing w:val="-16"/>
                <w:kern w:val="21"/>
                <w:sz w:val="21"/>
                <w:szCs w:val="21"/>
                <w:lang w:eastAsia="zh-CN"/>
              </w:rPr>
              <w:t>（</w:t>
            </w:r>
            <w:r>
              <w:rPr>
                <w:rFonts w:hint="default" w:ascii="Times New Roman" w:hAnsi="Times New Roman" w:eastAsia="宋体" w:cs="Times New Roman"/>
                <w:b/>
                <w:bCs/>
                <w:snapToGrid w:val="0"/>
                <w:color w:val="auto"/>
                <w:spacing w:val="-16"/>
                <w:kern w:val="21"/>
                <w:sz w:val="21"/>
                <w:szCs w:val="21"/>
              </w:rPr>
              <w:t>固体废物产生量</w:t>
            </w:r>
            <w:r>
              <w:rPr>
                <w:rFonts w:hint="default" w:ascii="Times New Roman" w:hAnsi="Times New Roman" w:eastAsia="宋体" w:cs="Times New Roman"/>
                <w:b/>
                <w:bCs/>
                <w:snapToGrid w:val="0"/>
                <w:color w:val="auto"/>
                <w:spacing w:val="-16"/>
                <w:kern w:val="21"/>
                <w:sz w:val="21"/>
                <w:szCs w:val="21"/>
                <w:lang w:eastAsia="zh-CN"/>
              </w:rPr>
              <w:t>）</w:t>
            </w:r>
            <w:r>
              <w:rPr>
                <w:rFonts w:hint="default" w:ascii="Times New Roman" w:hAnsi="Times New Roman" w:eastAsia="宋体" w:cs="Times New Roman"/>
                <w:b/>
                <w:bCs/>
                <w:snapToGrid w:val="0"/>
                <w:color w:val="auto"/>
                <w:spacing w:val="-16"/>
                <w:kern w:val="21"/>
                <w:sz w:val="21"/>
                <w:szCs w:val="21"/>
              </w:rPr>
              <w:fldChar w:fldCharType="begin"/>
            </w:r>
            <w:r>
              <w:rPr>
                <w:rFonts w:hint="default" w:ascii="Times New Roman" w:hAnsi="Times New Roman" w:eastAsia="宋体" w:cs="Times New Roman"/>
                <w:b/>
                <w:bCs/>
                <w:snapToGrid w:val="0"/>
                <w:color w:val="auto"/>
                <w:spacing w:val="-16"/>
                <w:kern w:val="21"/>
                <w:sz w:val="21"/>
                <w:szCs w:val="21"/>
              </w:rPr>
              <w:instrText xml:space="preserve"> = 6 \* GB3 \* MERGEFORMAT </w:instrText>
            </w:r>
            <w:r>
              <w:rPr>
                <w:rFonts w:hint="default" w:ascii="Times New Roman" w:hAnsi="Times New Roman" w:eastAsia="宋体" w:cs="Times New Roman"/>
                <w:b/>
                <w:bCs/>
                <w:snapToGrid w:val="0"/>
                <w:color w:val="auto"/>
                <w:spacing w:val="-16"/>
                <w:kern w:val="21"/>
                <w:sz w:val="21"/>
                <w:szCs w:val="21"/>
              </w:rPr>
              <w:fldChar w:fldCharType="separate"/>
            </w:r>
            <w:r>
              <w:rPr>
                <w:rFonts w:hint="default" w:ascii="Times New Roman" w:hAnsi="Times New Roman" w:eastAsia="宋体" w:cs="Times New Roman"/>
                <w:b/>
                <w:bCs/>
                <w:color w:val="auto"/>
                <w:sz w:val="21"/>
                <w:szCs w:val="21"/>
              </w:rPr>
              <w:t>⑥</w:t>
            </w:r>
            <w:r>
              <w:rPr>
                <w:rFonts w:hint="default" w:ascii="Times New Roman" w:hAnsi="Times New Roman" w:eastAsia="宋体" w:cs="Times New Roman"/>
                <w:b/>
                <w:bCs/>
                <w:snapToGrid w:val="0"/>
                <w:color w:val="auto"/>
                <w:spacing w:val="-16"/>
                <w:kern w:val="21"/>
                <w:sz w:val="21"/>
                <w:szCs w:val="21"/>
              </w:rPr>
              <w:fldChar w:fldCharType="end"/>
            </w:r>
          </w:p>
        </w:tc>
        <w:tc>
          <w:tcPr>
            <w:tcW w:w="1212" w:type="dxa"/>
            <w:tcBorders>
              <w:tl2br w:val="nil"/>
              <w:tr2bl w:val="nil"/>
            </w:tcBorders>
            <w:noWrap w:val="0"/>
            <w:tcMar>
              <w:left w:w="28" w:type="dxa"/>
              <w:right w:w="28" w:type="dxa"/>
            </w:tcMar>
            <w:vAlign w:val="center"/>
          </w:tcPr>
          <w:p w14:paraId="47AD64E8">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变化量</w:t>
            </w:r>
          </w:p>
          <w:p w14:paraId="03948468">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fldChar w:fldCharType="begin"/>
            </w:r>
            <w:r>
              <w:rPr>
                <w:rFonts w:hint="default" w:ascii="Times New Roman" w:hAnsi="Times New Roman" w:eastAsia="宋体" w:cs="Times New Roman"/>
                <w:b/>
                <w:bCs/>
                <w:snapToGrid w:val="0"/>
                <w:color w:val="auto"/>
                <w:spacing w:val="-6"/>
                <w:kern w:val="21"/>
                <w:sz w:val="21"/>
                <w:szCs w:val="21"/>
              </w:rPr>
              <w:instrText xml:space="preserve"> = 7 \* GB3 \* MERGEFORMAT </w:instrText>
            </w:r>
            <w:r>
              <w:rPr>
                <w:rFonts w:hint="default" w:ascii="Times New Roman" w:hAnsi="Times New Roman" w:eastAsia="宋体" w:cs="Times New Roman"/>
                <w:b/>
                <w:bCs/>
                <w:snapToGrid w:val="0"/>
                <w:color w:val="auto"/>
                <w:spacing w:val="-6"/>
                <w:kern w:val="21"/>
                <w:sz w:val="21"/>
                <w:szCs w:val="21"/>
              </w:rPr>
              <w:fldChar w:fldCharType="separate"/>
            </w:r>
            <w:r>
              <w:rPr>
                <w:rFonts w:hint="default" w:ascii="Times New Roman" w:hAnsi="Times New Roman" w:eastAsia="宋体" w:cs="Times New Roman"/>
                <w:b/>
                <w:bCs/>
                <w:color w:val="auto"/>
                <w:sz w:val="21"/>
                <w:szCs w:val="21"/>
              </w:rPr>
              <w:t>⑦</w:t>
            </w:r>
            <w:r>
              <w:rPr>
                <w:rFonts w:hint="default" w:ascii="Times New Roman" w:hAnsi="Times New Roman" w:eastAsia="宋体" w:cs="Times New Roman"/>
                <w:b/>
                <w:bCs/>
                <w:snapToGrid w:val="0"/>
                <w:color w:val="auto"/>
                <w:spacing w:val="-6"/>
                <w:kern w:val="21"/>
                <w:sz w:val="21"/>
                <w:szCs w:val="21"/>
              </w:rPr>
              <w:fldChar w:fldCharType="end"/>
            </w:r>
          </w:p>
        </w:tc>
      </w:tr>
      <w:tr w14:paraId="6EAAE4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tcBorders>
              <w:tl2br w:val="nil"/>
              <w:tr2bl w:val="nil"/>
            </w:tcBorders>
            <w:noWrap w:val="0"/>
            <w:vAlign w:val="center"/>
          </w:tcPr>
          <w:p w14:paraId="5DED2789">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eastAsia="宋体" w:cs="Times New Roman"/>
                <w:snapToGrid w:val="0"/>
                <w:color w:val="auto"/>
                <w:kern w:val="21"/>
                <w:sz w:val="21"/>
                <w:szCs w:val="21"/>
              </w:rPr>
              <w:t>废气</w:t>
            </w:r>
            <w:r>
              <w:rPr>
                <w:rFonts w:hint="default" w:ascii="Times New Roman" w:hAnsi="Times New Roman" w:eastAsia="宋体" w:cs="Times New Roman"/>
                <w:snapToGrid w:val="0"/>
                <w:color w:val="auto"/>
                <w:kern w:val="21"/>
                <w:sz w:val="21"/>
                <w:szCs w:val="21"/>
                <w:lang w:eastAsia="zh-CN"/>
              </w:rPr>
              <w:t>（</w:t>
            </w:r>
            <w:r>
              <w:rPr>
                <w:rFonts w:hint="default" w:ascii="Times New Roman" w:hAnsi="Times New Roman" w:eastAsia="宋体" w:cs="Times New Roman"/>
                <w:snapToGrid w:val="0"/>
                <w:color w:val="auto"/>
                <w:kern w:val="21"/>
                <w:sz w:val="21"/>
                <w:szCs w:val="21"/>
                <w:lang w:val="en-US" w:eastAsia="zh-CN"/>
              </w:rPr>
              <w:t>有组织</w:t>
            </w:r>
            <w:r>
              <w:rPr>
                <w:rFonts w:hint="default" w:ascii="Times New Roman" w:hAnsi="Times New Roman" w:eastAsia="宋体" w:cs="Times New Roman"/>
                <w:snapToGrid w:val="0"/>
                <w:color w:val="auto"/>
                <w:kern w:val="21"/>
                <w:sz w:val="21"/>
                <w:szCs w:val="21"/>
                <w:lang w:eastAsia="zh-CN"/>
              </w:rPr>
              <w:t>）</w:t>
            </w:r>
          </w:p>
        </w:tc>
        <w:tc>
          <w:tcPr>
            <w:tcW w:w="1291" w:type="dxa"/>
            <w:tcBorders>
              <w:tl2br w:val="nil"/>
              <w:tr2bl w:val="nil"/>
            </w:tcBorders>
            <w:noWrap w:val="0"/>
            <w:vAlign w:val="center"/>
          </w:tcPr>
          <w:p w14:paraId="007BA137">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非甲烷总烃</w:t>
            </w:r>
          </w:p>
        </w:tc>
        <w:tc>
          <w:tcPr>
            <w:tcW w:w="1639" w:type="dxa"/>
            <w:tcBorders>
              <w:tl2br w:val="nil"/>
              <w:tr2bl w:val="nil"/>
            </w:tcBorders>
            <w:noWrap w:val="0"/>
            <w:vAlign w:val="center"/>
          </w:tcPr>
          <w:p w14:paraId="1516D0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03B3A4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1491208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noWrap w:val="0"/>
            <w:vAlign w:val="center"/>
          </w:tcPr>
          <w:p w14:paraId="570366E8">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0.02</w:t>
            </w:r>
          </w:p>
        </w:tc>
        <w:tc>
          <w:tcPr>
            <w:tcW w:w="1558" w:type="dxa"/>
            <w:tcBorders>
              <w:tl2br w:val="nil"/>
              <w:tr2bl w:val="nil"/>
            </w:tcBorders>
            <w:noWrap w:val="0"/>
            <w:vAlign w:val="center"/>
          </w:tcPr>
          <w:p w14:paraId="77472A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7A69FD04">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0.02</w:t>
            </w:r>
          </w:p>
        </w:tc>
        <w:tc>
          <w:tcPr>
            <w:tcW w:w="1212" w:type="dxa"/>
            <w:tcBorders>
              <w:tl2br w:val="nil"/>
              <w:tr2bl w:val="nil"/>
            </w:tcBorders>
            <w:noWrap w:val="0"/>
            <w:vAlign w:val="center"/>
          </w:tcPr>
          <w:p w14:paraId="2401DD21">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+0.02</w:t>
            </w:r>
          </w:p>
        </w:tc>
      </w:tr>
      <w:tr w14:paraId="5901DC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0F859E5D">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7CB3D692">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颗粒物</w:t>
            </w:r>
          </w:p>
        </w:tc>
        <w:tc>
          <w:tcPr>
            <w:tcW w:w="1639" w:type="dxa"/>
            <w:tcBorders>
              <w:tl2br w:val="nil"/>
              <w:tr2bl w:val="nil"/>
            </w:tcBorders>
            <w:noWrap w:val="0"/>
            <w:vAlign w:val="center"/>
          </w:tcPr>
          <w:p w14:paraId="1C5784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5DE08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5FD7962F">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spacing w:val="-10"/>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noWrap w:val="0"/>
            <w:vAlign w:val="center"/>
          </w:tcPr>
          <w:p w14:paraId="29FADAD0">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c>
          <w:tcPr>
            <w:tcW w:w="1558" w:type="dxa"/>
            <w:tcBorders>
              <w:tl2br w:val="nil"/>
              <w:tr2bl w:val="nil"/>
            </w:tcBorders>
            <w:noWrap w:val="0"/>
            <w:vAlign w:val="center"/>
          </w:tcPr>
          <w:p w14:paraId="4C065A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76" w:type="dxa"/>
            <w:tcBorders>
              <w:tl2br w:val="nil"/>
              <w:tr2bl w:val="nil"/>
            </w:tcBorders>
            <w:noWrap w:val="0"/>
            <w:vAlign w:val="center"/>
          </w:tcPr>
          <w:p w14:paraId="5D3335E0">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c>
          <w:tcPr>
            <w:tcW w:w="1212" w:type="dxa"/>
            <w:tcBorders>
              <w:tl2br w:val="nil"/>
              <w:tr2bl w:val="nil"/>
            </w:tcBorders>
            <w:noWrap w:val="0"/>
            <w:vAlign w:val="center"/>
          </w:tcPr>
          <w:p w14:paraId="45AD290D">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w:t>
            </w:r>
            <w:r>
              <w:rPr>
                <w:rFonts w:hint="eastAsia" w:cs="Times New Roman"/>
                <w:bCs/>
                <w:color w:val="auto"/>
                <w:kern w:val="2"/>
                <w:sz w:val="21"/>
                <w:szCs w:val="21"/>
                <w:lang w:val="en-US" w:eastAsia="zh-CN" w:bidi="ar-SA"/>
              </w:rPr>
              <w:t>4</w:t>
            </w:r>
          </w:p>
        </w:tc>
      </w:tr>
      <w:tr w14:paraId="4E3E32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tcBorders>
              <w:tl2br w:val="nil"/>
              <w:tr2bl w:val="nil"/>
            </w:tcBorders>
            <w:noWrap w:val="0"/>
            <w:vAlign w:val="center"/>
          </w:tcPr>
          <w:p w14:paraId="640930C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废气</w:t>
            </w:r>
            <w:r>
              <w:rPr>
                <w:rFonts w:hint="default" w:ascii="Times New Roman" w:hAnsi="Times New Roman" w:eastAsia="宋体" w:cs="Times New Roman"/>
                <w:snapToGrid w:val="0"/>
                <w:color w:val="auto"/>
                <w:kern w:val="21"/>
                <w:sz w:val="21"/>
                <w:szCs w:val="21"/>
                <w:lang w:eastAsia="zh-CN"/>
              </w:rPr>
              <w:t>（</w:t>
            </w:r>
            <w:r>
              <w:rPr>
                <w:rFonts w:hint="default" w:ascii="Times New Roman" w:hAnsi="Times New Roman" w:eastAsia="宋体" w:cs="Times New Roman"/>
                <w:snapToGrid w:val="0"/>
                <w:color w:val="auto"/>
                <w:kern w:val="21"/>
                <w:sz w:val="21"/>
                <w:szCs w:val="21"/>
                <w:lang w:val="en-US" w:eastAsia="zh-CN"/>
              </w:rPr>
              <w:t>无组织</w:t>
            </w:r>
            <w:r>
              <w:rPr>
                <w:rFonts w:hint="default" w:ascii="Times New Roman" w:hAnsi="Times New Roman" w:eastAsia="宋体" w:cs="Times New Roman"/>
                <w:snapToGrid w:val="0"/>
                <w:color w:val="auto"/>
                <w:kern w:val="21"/>
                <w:sz w:val="21"/>
                <w:szCs w:val="21"/>
                <w:lang w:eastAsia="zh-CN"/>
              </w:rPr>
              <w:t>）</w:t>
            </w:r>
          </w:p>
        </w:tc>
        <w:tc>
          <w:tcPr>
            <w:tcW w:w="1291" w:type="dxa"/>
            <w:tcBorders>
              <w:tl2br w:val="nil"/>
              <w:tr2bl w:val="nil"/>
            </w:tcBorders>
            <w:noWrap w:val="0"/>
            <w:vAlign w:val="center"/>
          </w:tcPr>
          <w:p w14:paraId="0A756484">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非甲烷总烃</w:t>
            </w:r>
          </w:p>
        </w:tc>
        <w:tc>
          <w:tcPr>
            <w:tcW w:w="1639" w:type="dxa"/>
            <w:tcBorders>
              <w:tl2br w:val="nil"/>
              <w:tr2bl w:val="nil"/>
            </w:tcBorders>
            <w:noWrap w:val="0"/>
            <w:vAlign w:val="center"/>
          </w:tcPr>
          <w:p w14:paraId="3399E6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6F28C9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5A866523">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noWrap w:val="0"/>
            <w:vAlign w:val="center"/>
          </w:tcPr>
          <w:p w14:paraId="5194F239">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0.02</w:t>
            </w:r>
          </w:p>
        </w:tc>
        <w:tc>
          <w:tcPr>
            <w:tcW w:w="1558" w:type="dxa"/>
            <w:tcBorders>
              <w:tl2br w:val="nil"/>
              <w:tr2bl w:val="nil"/>
            </w:tcBorders>
            <w:noWrap w:val="0"/>
            <w:vAlign w:val="center"/>
          </w:tcPr>
          <w:p w14:paraId="62D71E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3B26610B">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0.02</w:t>
            </w:r>
          </w:p>
        </w:tc>
        <w:tc>
          <w:tcPr>
            <w:tcW w:w="1212" w:type="dxa"/>
            <w:tcBorders>
              <w:tl2br w:val="nil"/>
              <w:tr2bl w:val="nil"/>
            </w:tcBorders>
            <w:noWrap w:val="0"/>
            <w:vAlign w:val="center"/>
          </w:tcPr>
          <w:p w14:paraId="44D4296C">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+0.02</w:t>
            </w:r>
          </w:p>
        </w:tc>
      </w:tr>
      <w:tr w14:paraId="316126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6A378AB0">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4CDFC4DD">
            <w:pPr>
              <w:keepNext w:val="0"/>
              <w:keepLines w:val="0"/>
              <w:pageBreakBefore w:val="0"/>
              <w:kinsoku/>
              <w:wordWrap/>
              <w:overflowPunct/>
              <w:topLinePunct w:val="0"/>
              <w:autoSpaceDE/>
              <w:autoSpaceDN/>
              <w:bidi w:val="0"/>
              <w:spacing w:line="240" w:lineRule="auto"/>
              <w:ind w:firstLine="0" w:firstLineChars="0"/>
              <w:contextualSpacing/>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颗粒物</w:t>
            </w:r>
          </w:p>
        </w:tc>
        <w:tc>
          <w:tcPr>
            <w:tcW w:w="1639" w:type="dxa"/>
            <w:tcBorders>
              <w:tl2br w:val="nil"/>
              <w:tr2bl w:val="nil"/>
            </w:tcBorders>
            <w:noWrap w:val="0"/>
            <w:vAlign w:val="center"/>
          </w:tcPr>
          <w:p w14:paraId="3176F2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668D63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6E3B3FFA">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spacing w:val="-10"/>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noWrap w:val="0"/>
            <w:vAlign w:val="center"/>
          </w:tcPr>
          <w:p w14:paraId="0C6234EC">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r>
              <w:rPr>
                <w:rFonts w:hint="eastAsia" w:cs="Times New Roman"/>
                <w:bCs/>
                <w:color w:val="auto"/>
                <w:sz w:val="21"/>
                <w:szCs w:val="21"/>
                <w:lang w:val="en-US" w:eastAsia="zh-CN"/>
              </w:rPr>
              <w:t>06</w:t>
            </w:r>
          </w:p>
        </w:tc>
        <w:tc>
          <w:tcPr>
            <w:tcW w:w="1558" w:type="dxa"/>
            <w:tcBorders>
              <w:tl2br w:val="nil"/>
              <w:tr2bl w:val="nil"/>
            </w:tcBorders>
            <w:noWrap w:val="0"/>
            <w:vAlign w:val="center"/>
          </w:tcPr>
          <w:p w14:paraId="179ECB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76" w:type="dxa"/>
            <w:tcBorders>
              <w:tl2br w:val="nil"/>
              <w:tr2bl w:val="nil"/>
            </w:tcBorders>
            <w:noWrap w:val="0"/>
            <w:vAlign w:val="center"/>
          </w:tcPr>
          <w:p w14:paraId="2BF8CE2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w:t>
            </w:r>
            <w:r>
              <w:rPr>
                <w:rFonts w:hint="eastAsia" w:cs="Times New Roman"/>
                <w:bCs/>
                <w:color w:val="auto"/>
                <w:sz w:val="21"/>
                <w:szCs w:val="21"/>
                <w:lang w:val="en-US" w:eastAsia="zh-CN"/>
              </w:rPr>
              <w:t>06</w:t>
            </w:r>
          </w:p>
        </w:tc>
        <w:tc>
          <w:tcPr>
            <w:tcW w:w="1212" w:type="dxa"/>
            <w:tcBorders>
              <w:tl2br w:val="nil"/>
              <w:tr2bl w:val="nil"/>
            </w:tcBorders>
            <w:noWrap w:val="0"/>
            <w:vAlign w:val="center"/>
          </w:tcPr>
          <w:p w14:paraId="7490AA02">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+0.</w:t>
            </w:r>
            <w:r>
              <w:rPr>
                <w:rFonts w:hint="eastAsia" w:cs="Times New Roman"/>
                <w:bCs/>
                <w:color w:val="auto"/>
                <w:sz w:val="21"/>
                <w:szCs w:val="21"/>
                <w:lang w:val="en-US" w:eastAsia="zh-CN"/>
              </w:rPr>
              <w:t>06</w:t>
            </w:r>
          </w:p>
        </w:tc>
      </w:tr>
      <w:tr w14:paraId="14D676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tcBorders>
              <w:tl2br w:val="nil"/>
              <w:tr2bl w:val="nil"/>
            </w:tcBorders>
            <w:noWrap w:val="0"/>
            <w:vAlign w:val="center"/>
          </w:tcPr>
          <w:p w14:paraId="44BAF5A2">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废水</w:t>
            </w:r>
          </w:p>
        </w:tc>
        <w:tc>
          <w:tcPr>
            <w:tcW w:w="1291" w:type="dxa"/>
            <w:tcBorders>
              <w:tl2br w:val="nil"/>
              <w:tr2bl w:val="nil"/>
            </w:tcBorders>
            <w:noWrap w:val="0"/>
            <w:vAlign w:val="center"/>
          </w:tcPr>
          <w:p w14:paraId="5BB94DD1">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COD</w:t>
            </w:r>
          </w:p>
        </w:tc>
        <w:tc>
          <w:tcPr>
            <w:tcW w:w="1639" w:type="dxa"/>
            <w:tcBorders>
              <w:tl2br w:val="nil"/>
              <w:tr2bl w:val="nil"/>
            </w:tcBorders>
            <w:noWrap w:val="0"/>
            <w:vAlign w:val="center"/>
          </w:tcPr>
          <w:p w14:paraId="17F1BCA6">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3E9C8D5E">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718A7B3D">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06A07C29">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558" w:type="dxa"/>
            <w:tcBorders>
              <w:tl2br w:val="nil"/>
              <w:tr2bl w:val="nil"/>
            </w:tcBorders>
            <w:noWrap w:val="0"/>
            <w:vAlign w:val="center"/>
          </w:tcPr>
          <w:p w14:paraId="55E4EF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7A0D714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0.0648</w:t>
            </w:r>
          </w:p>
        </w:tc>
        <w:tc>
          <w:tcPr>
            <w:tcW w:w="1212" w:type="dxa"/>
            <w:tcBorders>
              <w:tl2br w:val="nil"/>
              <w:tr2bl w:val="nil"/>
            </w:tcBorders>
            <w:shd w:val="clear" w:color="auto" w:fill="auto"/>
            <w:noWrap w:val="0"/>
            <w:vAlign w:val="center"/>
          </w:tcPr>
          <w:p w14:paraId="1F880FE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0.0648</w:t>
            </w:r>
          </w:p>
        </w:tc>
      </w:tr>
      <w:tr w14:paraId="34EBC0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73C652B5">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74AB0A17">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SS</w:t>
            </w:r>
          </w:p>
        </w:tc>
        <w:tc>
          <w:tcPr>
            <w:tcW w:w="1639" w:type="dxa"/>
            <w:tcBorders>
              <w:tl2br w:val="nil"/>
              <w:tr2bl w:val="nil"/>
            </w:tcBorders>
            <w:noWrap w:val="0"/>
            <w:vAlign w:val="center"/>
          </w:tcPr>
          <w:p w14:paraId="645C50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7FFF77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63182188">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spacing w:val="-10"/>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7B9F582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558" w:type="dxa"/>
            <w:tcBorders>
              <w:tl2br w:val="nil"/>
              <w:tr2bl w:val="nil"/>
            </w:tcBorders>
            <w:noWrap w:val="0"/>
            <w:vAlign w:val="center"/>
          </w:tcPr>
          <w:p w14:paraId="1EEE43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76" w:type="dxa"/>
            <w:tcBorders>
              <w:tl2br w:val="nil"/>
              <w:tr2bl w:val="nil"/>
            </w:tcBorders>
            <w:shd w:val="clear" w:color="auto" w:fill="auto"/>
            <w:noWrap w:val="0"/>
            <w:vAlign w:val="center"/>
          </w:tcPr>
          <w:p w14:paraId="7A77A77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0.0324</w:t>
            </w:r>
          </w:p>
        </w:tc>
        <w:tc>
          <w:tcPr>
            <w:tcW w:w="1212" w:type="dxa"/>
            <w:tcBorders>
              <w:tl2br w:val="nil"/>
              <w:tr2bl w:val="nil"/>
            </w:tcBorders>
            <w:shd w:val="clear" w:color="auto" w:fill="auto"/>
            <w:noWrap w:val="0"/>
            <w:vAlign w:val="center"/>
          </w:tcPr>
          <w:p w14:paraId="385311F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0.0324</w:t>
            </w:r>
          </w:p>
        </w:tc>
      </w:tr>
      <w:tr w14:paraId="044E9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1915DE8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3CB23791">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氨氮</w:t>
            </w:r>
          </w:p>
        </w:tc>
        <w:tc>
          <w:tcPr>
            <w:tcW w:w="1639" w:type="dxa"/>
            <w:tcBorders>
              <w:tl2br w:val="nil"/>
              <w:tr2bl w:val="nil"/>
            </w:tcBorders>
            <w:noWrap w:val="0"/>
            <w:vAlign w:val="center"/>
          </w:tcPr>
          <w:p w14:paraId="74C4A849">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0B64EAE1">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3ED7883A">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41CBE09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558" w:type="dxa"/>
            <w:tcBorders>
              <w:tl2br w:val="nil"/>
              <w:tr2bl w:val="nil"/>
            </w:tcBorders>
            <w:noWrap w:val="0"/>
            <w:vAlign w:val="center"/>
          </w:tcPr>
          <w:p w14:paraId="7092FB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0C3F21D4">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0.0054</w:t>
            </w:r>
          </w:p>
        </w:tc>
        <w:tc>
          <w:tcPr>
            <w:tcW w:w="1212" w:type="dxa"/>
            <w:tcBorders>
              <w:tl2br w:val="nil"/>
              <w:tr2bl w:val="nil"/>
            </w:tcBorders>
            <w:shd w:val="clear" w:color="auto" w:fill="auto"/>
            <w:noWrap w:val="0"/>
            <w:vAlign w:val="center"/>
          </w:tcPr>
          <w:p w14:paraId="04A4408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0.0054</w:t>
            </w:r>
          </w:p>
        </w:tc>
      </w:tr>
      <w:tr w14:paraId="06BC4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1E447E7B">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2D484F9E">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eastAsia="宋体" w:cs="Times New Roman"/>
                <w:snapToGrid w:val="0"/>
                <w:color w:val="auto"/>
                <w:kern w:val="21"/>
                <w:sz w:val="21"/>
                <w:szCs w:val="21"/>
              </w:rPr>
              <w:t>总</w:t>
            </w:r>
            <w:r>
              <w:rPr>
                <w:rFonts w:hint="default" w:ascii="Times New Roman" w:hAnsi="Times New Roman" w:eastAsia="宋体" w:cs="Times New Roman"/>
                <w:snapToGrid w:val="0"/>
                <w:color w:val="auto"/>
                <w:kern w:val="21"/>
                <w:sz w:val="21"/>
                <w:szCs w:val="21"/>
                <w:lang w:val="en-US" w:eastAsia="zh-CN"/>
              </w:rPr>
              <w:t>氮</w:t>
            </w:r>
          </w:p>
        </w:tc>
        <w:tc>
          <w:tcPr>
            <w:tcW w:w="1639" w:type="dxa"/>
            <w:tcBorders>
              <w:tl2br w:val="nil"/>
              <w:tr2bl w:val="nil"/>
            </w:tcBorders>
            <w:noWrap w:val="0"/>
            <w:vAlign w:val="center"/>
          </w:tcPr>
          <w:p w14:paraId="578D0537">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5A58F930">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1099EC11">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11E8A860">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558" w:type="dxa"/>
            <w:tcBorders>
              <w:tl2br w:val="nil"/>
              <w:tr2bl w:val="nil"/>
            </w:tcBorders>
            <w:noWrap w:val="0"/>
            <w:vAlign w:val="center"/>
          </w:tcPr>
          <w:p w14:paraId="05EC03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6B4E70D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c>
          <w:tcPr>
            <w:tcW w:w="1212" w:type="dxa"/>
            <w:tcBorders>
              <w:tl2br w:val="nil"/>
              <w:tr2bl w:val="nil"/>
            </w:tcBorders>
            <w:shd w:val="clear" w:color="auto" w:fill="auto"/>
            <w:noWrap w:val="0"/>
            <w:vAlign w:val="center"/>
          </w:tcPr>
          <w:p w14:paraId="4CB0800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0.007</w:t>
            </w:r>
            <w:r>
              <w:rPr>
                <w:rFonts w:hint="eastAsia" w:ascii="Times New Roman" w:hAnsi="Times New Roman" w:cs="Times New Roman"/>
                <w:i w:val="0"/>
                <w:iCs w:val="0"/>
                <w:color w:val="auto"/>
                <w:kern w:val="0"/>
                <w:sz w:val="22"/>
                <w:szCs w:val="22"/>
                <w:u w:val="none"/>
                <w:lang w:val="en-US" w:eastAsia="zh-CN" w:bidi="ar"/>
              </w:rPr>
              <w:t>6</w:t>
            </w:r>
          </w:p>
        </w:tc>
      </w:tr>
      <w:tr w14:paraId="780094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570F3063">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noWrap w:val="0"/>
            <w:vAlign w:val="center"/>
          </w:tcPr>
          <w:p w14:paraId="3E543D3B">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eastAsia="宋体" w:cs="Times New Roman"/>
                <w:snapToGrid w:val="0"/>
                <w:color w:val="auto"/>
                <w:kern w:val="21"/>
                <w:sz w:val="21"/>
                <w:szCs w:val="21"/>
              </w:rPr>
              <w:t>总</w:t>
            </w:r>
            <w:r>
              <w:rPr>
                <w:rFonts w:hint="default" w:ascii="Times New Roman" w:hAnsi="Times New Roman" w:eastAsia="宋体" w:cs="Times New Roman"/>
                <w:snapToGrid w:val="0"/>
                <w:color w:val="auto"/>
                <w:kern w:val="21"/>
                <w:sz w:val="21"/>
                <w:szCs w:val="21"/>
                <w:lang w:val="en-US" w:eastAsia="zh-CN"/>
              </w:rPr>
              <w:t>磷</w:t>
            </w:r>
          </w:p>
        </w:tc>
        <w:tc>
          <w:tcPr>
            <w:tcW w:w="1639" w:type="dxa"/>
            <w:tcBorders>
              <w:tl2br w:val="nil"/>
              <w:tr2bl w:val="nil"/>
            </w:tcBorders>
            <w:noWrap w:val="0"/>
            <w:vAlign w:val="center"/>
          </w:tcPr>
          <w:p w14:paraId="7E40972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358817FB">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24740913">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1C4EF21A">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558" w:type="dxa"/>
            <w:tcBorders>
              <w:tl2br w:val="nil"/>
              <w:tr2bl w:val="nil"/>
            </w:tcBorders>
            <w:noWrap w:val="0"/>
            <w:vAlign w:val="center"/>
          </w:tcPr>
          <w:p w14:paraId="745D79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18750B8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2"/>
                <w:szCs w:val="22"/>
                <w:u w:val="none"/>
                <w:lang w:val="en-US" w:eastAsia="zh-CN" w:bidi="ar"/>
              </w:rPr>
              <w:t>0.0005</w:t>
            </w:r>
          </w:p>
        </w:tc>
        <w:tc>
          <w:tcPr>
            <w:tcW w:w="1212" w:type="dxa"/>
            <w:tcBorders>
              <w:tl2br w:val="nil"/>
              <w:tr2bl w:val="nil"/>
            </w:tcBorders>
            <w:shd w:val="clear" w:color="auto" w:fill="auto"/>
            <w:noWrap w:val="0"/>
            <w:vAlign w:val="center"/>
          </w:tcPr>
          <w:p w14:paraId="552DE1CF">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i w:val="0"/>
                <w:iCs w:val="0"/>
                <w:color w:val="auto"/>
                <w:kern w:val="0"/>
                <w:sz w:val="22"/>
                <w:szCs w:val="22"/>
                <w:u w:val="none"/>
                <w:lang w:val="en-US" w:eastAsia="zh-CN" w:bidi="ar"/>
              </w:rPr>
              <w:t>+</w:t>
            </w:r>
            <w:r>
              <w:rPr>
                <w:rFonts w:hint="default" w:ascii="Times New Roman" w:hAnsi="Times New Roman" w:eastAsia="宋体" w:cs="Times New Roman"/>
                <w:i w:val="0"/>
                <w:iCs w:val="0"/>
                <w:color w:val="auto"/>
                <w:kern w:val="0"/>
                <w:sz w:val="22"/>
                <w:szCs w:val="22"/>
                <w:u w:val="none"/>
                <w:lang w:val="en-US" w:eastAsia="zh-CN" w:bidi="ar"/>
              </w:rPr>
              <w:t>0.0005</w:t>
            </w:r>
          </w:p>
        </w:tc>
      </w:tr>
      <w:tr w14:paraId="20244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tcBorders>
              <w:tl2br w:val="nil"/>
              <w:tr2bl w:val="nil"/>
            </w:tcBorders>
            <w:noWrap w:val="0"/>
            <w:vAlign w:val="center"/>
          </w:tcPr>
          <w:p w14:paraId="2D823F5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生活垃圾</w:t>
            </w:r>
          </w:p>
        </w:tc>
        <w:tc>
          <w:tcPr>
            <w:tcW w:w="1291" w:type="dxa"/>
            <w:tcBorders>
              <w:tl2br w:val="nil"/>
              <w:tr2bl w:val="nil"/>
            </w:tcBorders>
            <w:noWrap w:val="0"/>
            <w:vAlign w:val="center"/>
          </w:tcPr>
          <w:p w14:paraId="1D672C6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生活垃圾</w:t>
            </w:r>
          </w:p>
        </w:tc>
        <w:tc>
          <w:tcPr>
            <w:tcW w:w="1639" w:type="dxa"/>
            <w:tcBorders>
              <w:tl2br w:val="nil"/>
              <w:tr2bl w:val="nil"/>
            </w:tcBorders>
            <w:noWrap w:val="0"/>
            <w:vAlign w:val="center"/>
          </w:tcPr>
          <w:p w14:paraId="17DD1BD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626B4C48">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5AF1FD7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noWrap w:val="0"/>
            <w:vAlign w:val="center"/>
          </w:tcPr>
          <w:p w14:paraId="69F85F81">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1.2</w:t>
            </w:r>
          </w:p>
        </w:tc>
        <w:tc>
          <w:tcPr>
            <w:tcW w:w="1558" w:type="dxa"/>
            <w:tcBorders>
              <w:tl2br w:val="nil"/>
              <w:tr2bl w:val="nil"/>
            </w:tcBorders>
            <w:noWrap w:val="0"/>
            <w:vAlign w:val="center"/>
          </w:tcPr>
          <w:p w14:paraId="5C077D9B">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189DFC97">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spacing w:val="-10"/>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1.2</w:t>
            </w:r>
          </w:p>
        </w:tc>
        <w:tc>
          <w:tcPr>
            <w:tcW w:w="1212" w:type="dxa"/>
            <w:tcBorders>
              <w:tl2br w:val="nil"/>
              <w:tr2bl w:val="nil"/>
            </w:tcBorders>
            <w:noWrap w:val="0"/>
            <w:vAlign w:val="center"/>
          </w:tcPr>
          <w:p w14:paraId="12FC2B08">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spacing w:val="-10"/>
                <w:kern w:val="21"/>
                <w:sz w:val="21"/>
                <w:szCs w:val="21"/>
                <w:lang w:val="en-US" w:eastAsia="zh-CN" w:bidi="ar-SA"/>
              </w:rPr>
            </w:pPr>
            <w:r>
              <w:rPr>
                <w:rFonts w:hint="default" w:ascii="Times New Roman" w:hAnsi="Times New Roman" w:eastAsia="宋体" w:cs="Times New Roman"/>
                <w:bCs/>
                <w:color w:val="auto"/>
                <w:sz w:val="21"/>
                <w:szCs w:val="21"/>
                <w:lang w:val="en-US" w:eastAsia="zh-CN"/>
              </w:rPr>
              <w:t>+</w:t>
            </w:r>
            <w:r>
              <w:rPr>
                <w:rFonts w:hint="default" w:ascii="Times New Roman" w:hAnsi="Times New Roman" w:eastAsia="宋体" w:cs="Times New Roman"/>
                <w:color w:val="auto"/>
                <w:sz w:val="21"/>
                <w:szCs w:val="21"/>
                <w:lang w:val="en-US" w:eastAsia="zh-CN"/>
              </w:rPr>
              <w:t>1.2</w:t>
            </w:r>
          </w:p>
        </w:tc>
      </w:tr>
      <w:tr w14:paraId="61F7A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tcBorders>
              <w:tl2br w:val="nil"/>
              <w:tr2bl w:val="nil"/>
            </w:tcBorders>
            <w:noWrap w:val="0"/>
            <w:vAlign w:val="center"/>
          </w:tcPr>
          <w:p w14:paraId="25327A4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一般工业</w:t>
            </w:r>
          </w:p>
          <w:p w14:paraId="15B0A3C4">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固体废物</w:t>
            </w:r>
          </w:p>
        </w:tc>
        <w:tc>
          <w:tcPr>
            <w:tcW w:w="1291" w:type="dxa"/>
            <w:tcBorders>
              <w:tl2br w:val="nil"/>
              <w:tr2bl w:val="nil"/>
            </w:tcBorders>
            <w:shd w:val="clear" w:color="auto" w:fill="auto"/>
            <w:noWrap w:val="0"/>
            <w:vAlign w:val="center"/>
          </w:tcPr>
          <w:p w14:paraId="0463FD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不合格品</w:t>
            </w:r>
          </w:p>
        </w:tc>
        <w:tc>
          <w:tcPr>
            <w:tcW w:w="1639" w:type="dxa"/>
            <w:tcBorders>
              <w:tl2br w:val="nil"/>
              <w:tr2bl w:val="nil"/>
            </w:tcBorders>
            <w:noWrap w:val="0"/>
            <w:vAlign w:val="center"/>
          </w:tcPr>
          <w:p w14:paraId="6AB32FE4">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135BB01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298641C8">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7F374B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2.79</w:t>
            </w:r>
          </w:p>
        </w:tc>
        <w:tc>
          <w:tcPr>
            <w:tcW w:w="1558" w:type="dxa"/>
            <w:tcBorders>
              <w:tl2br w:val="nil"/>
              <w:tr2bl w:val="nil"/>
            </w:tcBorders>
            <w:noWrap w:val="0"/>
            <w:vAlign w:val="center"/>
          </w:tcPr>
          <w:p w14:paraId="746F30EB">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3B7816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2.79</w:t>
            </w:r>
          </w:p>
        </w:tc>
        <w:tc>
          <w:tcPr>
            <w:tcW w:w="1212" w:type="dxa"/>
            <w:tcBorders>
              <w:tl2br w:val="nil"/>
              <w:tr2bl w:val="nil"/>
            </w:tcBorders>
            <w:shd w:val="clear" w:color="auto" w:fill="auto"/>
            <w:noWrap w:val="0"/>
            <w:vAlign w:val="center"/>
          </w:tcPr>
          <w:p w14:paraId="6EDE50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2.79</w:t>
            </w:r>
          </w:p>
        </w:tc>
      </w:tr>
      <w:tr w14:paraId="25EEE9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470FF9B9">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1E1991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边角料</w:t>
            </w:r>
          </w:p>
        </w:tc>
        <w:tc>
          <w:tcPr>
            <w:tcW w:w="1639" w:type="dxa"/>
            <w:tcBorders>
              <w:tl2br w:val="nil"/>
              <w:tr2bl w:val="nil"/>
            </w:tcBorders>
            <w:noWrap w:val="0"/>
            <w:vAlign w:val="center"/>
          </w:tcPr>
          <w:p w14:paraId="7CA6BD5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0437B06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1BD2BEE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508CD3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558" w:type="dxa"/>
            <w:tcBorders>
              <w:tl2br w:val="nil"/>
              <w:tr2bl w:val="nil"/>
            </w:tcBorders>
            <w:noWrap w:val="0"/>
            <w:vAlign w:val="center"/>
          </w:tcPr>
          <w:p w14:paraId="265F5C44">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76" w:type="dxa"/>
            <w:tcBorders>
              <w:tl2br w:val="nil"/>
              <w:tr2bl w:val="nil"/>
            </w:tcBorders>
            <w:shd w:val="clear" w:color="auto" w:fill="auto"/>
            <w:noWrap w:val="0"/>
            <w:vAlign w:val="center"/>
          </w:tcPr>
          <w:p w14:paraId="723017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1212" w:type="dxa"/>
            <w:tcBorders>
              <w:tl2br w:val="nil"/>
              <w:tr2bl w:val="nil"/>
            </w:tcBorders>
            <w:shd w:val="clear" w:color="auto" w:fill="auto"/>
            <w:noWrap w:val="0"/>
            <w:vAlign w:val="center"/>
          </w:tcPr>
          <w:p w14:paraId="08B9EC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r>
      <w:tr w14:paraId="75C988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4D74843E">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2D48B2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废包装袋</w:t>
            </w:r>
          </w:p>
        </w:tc>
        <w:tc>
          <w:tcPr>
            <w:tcW w:w="1639" w:type="dxa"/>
            <w:tcBorders>
              <w:tl2br w:val="nil"/>
              <w:tr2bl w:val="nil"/>
            </w:tcBorders>
            <w:noWrap w:val="0"/>
            <w:vAlign w:val="center"/>
          </w:tcPr>
          <w:p w14:paraId="195680E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03942E6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25F560A0">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42A030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1558" w:type="dxa"/>
            <w:tcBorders>
              <w:tl2br w:val="nil"/>
              <w:tr2bl w:val="nil"/>
            </w:tcBorders>
            <w:noWrap w:val="0"/>
            <w:vAlign w:val="center"/>
          </w:tcPr>
          <w:p w14:paraId="56D58D80">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776" w:type="dxa"/>
            <w:tcBorders>
              <w:tl2br w:val="nil"/>
              <w:tr2bl w:val="nil"/>
            </w:tcBorders>
            <w:shd w:val="clear" w:color="auto" w:fill="auto"/>
            <w:noWrap w:val="0"/>
            <w:vAlign w:val="center"/>
          </w:tcPr>
          <w:p w14:paraId="0DD278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1212" w:type="dxa"/>
            <w:tcBorders>
              <w:tl2br w:val="nil"/>
              <w:tr2bl w:val="nil"/>
            </w:tcBorders>
            <w:shd w:val="clear" w:color="auto" w:fill="auto"/>
            <w:noWrap w:val="0"/>
            <w:vAlign w:val="center"/>
          </w:tcPr>
          <w:p w14:paraId="36D70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w:t>
            </w:r>
          </w:p>
        </w:tc>
      </w:tr>
      <w:tr w14:paraId="24EC1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6F277F90">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75A6E7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废布袋</w:t>
            </w:r>
          </w:p>
        </w:tc>
        <w:tc>
          <w:tcPr>
            <w:tcW w:w="1639" w:type="dxa"/>
            <w:tcBorders>
              <w:tl2br w:val="nil"/>
              <w:tr2bl w:val="nil"/>
            </w:tcBorders>
            <w:noWrap w:val="0"/>
            <w:vAlign w:val="center"/>
          </w:tcPr>
          <w:p w14:paraId="369B9D07">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2CDF2A3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70C46292">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309FF3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4</w:t>
            </w:r>
          </w:p>
        </w:tc>
        <w:tc>
          <w:tcPr>
            <w:tcW w:w="1558" w:type="dxa"/>
            <w:tcBorders>
              <w:tl2br w:val="nil"/>
              <w:tr2bl w:val="nil"/>
            </w:tcBorders>
            <w:noWrap w:val="0"/>
            <w:vAlign w:val="center"/>
          </w:tcPr>
          <w:p w14:paraId="37C1ADA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19699E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4</w:t>
            </w:r>
          </w:p>
        </w:tc>
        <w:tc>
          <w:tcPr>
            <w:tcW w:w="1212" w:type="dxa"/>
            <w:tcBorders>
              <w:tl2br w:val="nil"/>
              <w:tr2bl w:val="nil"/>
            </w:tcBorders>
            <w:shd w:val="clear" w:color="auto" w:fill="auto"/>
            <w:noWrap w:val="0"/>
            <w:vAlign w:val="center"/>
          </w:tcPr>
          <w:p w14:paraId="4C28E9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4</w:t>
            </w:r>
          </w:p>
        </w:tc>
      </w:tr>
      <w:tr w14:paraId="4899E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22435447">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17F2FC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收集粉尘</w:t>
            </w:r>
          </w:p>
        </w:tc>
        <w:tc>
          <w:tcPr>
            <w:tcW w:w="1639" w:type="dxa"/>
            <w:tcBorders>
              <w:tl2br w:val="nil"/>
              <w:tr2bl w:val="nil"/>
            </w:tcBorders>
            <w:noWrap w:val="0"/>
            <w:vAlign w:val="center"/>
          </w:tcPr>
          <w:p w14:paraId="73AA0055">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591" w:type="dxa"/>
            <w:tcBorders>
              <w:tl2br w:val="nil"/>
              <w:tr2bl w:val="nil"/>
            </w:tcBorders>
            <w:noWrap w:val="0"/>
            <w:vAlign w:val="center"/>
          </w:tcPr>
          <w:p w14:paraId="2C81DE05">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07" w:type="dxa"/>
            <w:tcBorders>
              <w:tl2br w:val="nil"/>
              <w:tr2bl w:val="nil"/>
            </w:tcBorders>
            <w:noWrap w:val="0"/>
            <w:vAlign w:val="center"/>
          </w:tcPr>
          <w:p w14:paraId="42D7927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10" w:type="dxa"/>
            <w:tcBorders>
              <w:tl2br w:val="nil"/>
              <w:tr2bl w:val="nil"/>
            </w:tcBorders>
            <w:shd w:val="clear" w:color="auto" w:fill="auto"/>
            <w:noWrap w:val="0"/>
            <w:vAlign w:val="center"/>
          </w:tcPr>
          <w:p w14:paraId="21C325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0.04</w:t>
            </w:r>
          </w:p>
        </w:tc>
        <w:tc>
          <w:tcPr>
            <w:tcW w:w="1558" w:type="dxa"/>
            <w:tcBorders>
              <w:tl2br w:val="nil"/>
              <w:tr2bl w:val="nil"/>
            </w:tcBorders>
            <w:noWrap w:val="0"/>
            <w:vAlign w:val="center"/>
          </w:tcPr>
          <w:p w14:paraId="5B86F14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76" w:type="dxa"/>
            <w:tcBorders>
              <w:tl2br w:val="nil"/>
              <w:tr2bl w:val="nil"/>
            </w:tcBorders>
            <w:shd w:val="clear" w:color="auto" w:fill="auto"/>
            <w:noWrap w:val="0"/>
            <w:vAlign w:val="center"/>
          </w:tcPr>
          <w:p w14:paraId="177D4B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0.04</w:t>
            </w:r>
          </w:p>
        </w:tc>
        <w:tc>
          <w:tcPr>
            <w:tcW w:w="1212" w:type="dxa"/>
            <w:tcBorders>
              <w:tl2br w:val="nil"/>
              <w:tr2bl w:val="nil"/>
            </w:tcBorders>
            <w:shd w:val="clear" w:color="auto" w:fill="auto"/>
            <w:noWrap w:val="0"/>
            <w:vAlign w:val="center"/>
          </w:tcPr>
          <w:p w14:paraId="07471A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0.04</w:t>
            </w:r>
          </w:p>
        </w:tc>
      </w:tr>
      <w:tr w14:paraId="331861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restart"/>
            <w:tcBorders>
              <w:tl2br w:val="nil"/>
              <w:tr2bl w:val="nil"/>
            </w:tcBorders>
            <w:noWrap w:val="0"/>
            <w:vAlign w:val="center"/>
          </w:tcPr>
          <w:p w14:paraId="3C214FDF">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危险废物</w:t>
            </w:r>
          </w:p>
        </w:tc>
        <w:tc>
          <w:tcPr>
            <w:tcW w:w="1291" w:type="dxa"/>
            <w:tcBorders>
              <w:tl2br w:val="nil"/>
              <w:tr2bl w:val="nil"/>
            </w:tcBorders>
            <w:shd w:val="clear" w:color="auto" w:fill="auto"/>
            <w:noWrap w:val="0"/>
            <w:vAlign w:val="center"/>
          </w:tcPr>
          <w:p w14:paraId="326B4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冷却废液</w:t>
            </w:r>
          </w:p>
        </w:tc>
        <w:tc>
          <w:tcPr>
            <w:tcW w:w="1639" w:type="dxa"/>
            <w:tcBorders>
              <w:tl2br w:val="nil"/>
              <w:tr2bl w:val="nil"/>
            </w:tcBorders>
            <w:noWrap w:val="0"/>
            <w:vAlign w:val="center"/>
          </w:tcPr>
          <w:p w14:paraId="79EC4B74">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122A23D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347B5F08">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73EAD2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1558" w:type="dxa"/>
            <w:tcBorders>
              <w:tl2br w:val="nil"/>
              <w:tr2bl w:val="nil"/>
            </w:tcBorders>
            <w:noWrap w:val="0"/>
            <w:vAlign w:val="center"/>
          </w:tcPr>
          <w:p w14:paraId="439B541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3DA843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1212" w:type="dxa"/>
            <w:tcBorders>
              <w:tl2br w:val="nil"/>
              <w:tr2bl w:val="nil"/>
            </w:tcBorders>
            <w:noWrap w:val="0"/>
            <w:vAlign w:val="center"/>
          </w:tcPr>
          <w:p w14:paraId="23B099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w:t>
            </w:r>
          </w:p>
        </w:tc>
      </w:tr>
      <w:tr w14:paraId="5D614B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0D49F8BD">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51D03A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废齿轮油</w:t>
            </w:r>
          </w:p>
        </w:tc>
        <w:tc>
          <w:tcPr>
            <w:tcW w:w="1639" w:type="dxa"/>
            <w:tcBorders>
              <w:tl2br w:val="nil"/>
              <w:tr2bl w:val="nil"/>
            </w:tcBorders>
            <w:shd w:val="clear" w:color="auto" w:fill="auto"/>
            <w:noWrap w:val="0"/>
            <w:vAlign w:val="center"/>
          </w:tcPr>
          <w:p w14:paraId="03F29C91">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shd w:val="clear" w:color="auto" w:fill="auto"/>
            <w:noWrap w:val="0"/>
            <w:vAlign w:val="center"/>
          </w:tcPr>
          <w:p w14:paraId="1C35CF9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shd w:val="clear" w:color="auto" w:fill="auto"/>
            <w:noWrap w:val="0"/>
            <w:vAlign w:val="center"/>
          </w:tcPr>
          <w:p w14:paraId="655C153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1A0D6F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1558" w:type="dxa"/>
            <w:tcBorders>
              <w:tl2br w:val="nil"/>
              <w:tr2bl w:val="nil"/>
            </w:tcBorders>
            <w:shd w:val="clear" w:color="auto" w:fill="auto"/>
            <w:noWrap w:val="0"/>
            <w:vAlign w:val="center"/>
          </w:tcPr>
          <w:p w14:paraId="5A82741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02B9D0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1212" w:type="dxa"/>
            <w:tcBorders>
              <w:tl2br w:val="nil"/>
              <w:tr2bl w:val="nil"/>
            </w:tcBorders>
            <w:shd w:val="clear" w:color="auto" w:fill="auto"/>
            <w:noWrap w:val="0"/>
            <w:vAlign w:val="center"/>
          </w:tcPr>
          <w:p w14:paraId="3BDF73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r>
      <w:tr w14:paraId="4B39C5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5864F832">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1890B6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废包装桶</w:t>
            </w:r>
          </w:p>
        </w:tc>
        <w:tc>
          <w:tcPr>
            <w:tcW w:w="1639" w:type="dxa"/>
            <w:tcBorders>
              <w:tl2br w:val="nil"/>
              <w:tr2bl w:val="nil"/>
            </w:tcBorders>
            <w:noWrap w:val="0"/>
            <w:vAlign w:val="center"/>
          </w:tcPr>
          <w:p w14:paraId="4B6FF8CB">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1AD7017C">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1A45F71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5CE47E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w:t>
            </w:r>
          </w:p>
        </w:tc>
        <w:tc>
          <w:tcPr>
            <w:tcW w:w="1558" w:type="dxa"/>
            <w:tcBorders>
              <w:tl2br w:val="nil"/>
              <w:tr2bl w:val="nil"/>
            </w:tcBorders>
            <w:noWrap w:val="0"/>
            <w:vAlign w:val="center"/>
          </w:tcPr>
          <w:p w14:paraId="5191C420">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63FFD1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1212" w:type="dxa"/>
            <w:tcBorders>
              <w:tl2br w:val="nil"/>
              <w:tr2bl w:val="nil"/>
            </w:tcBorders>
            <w:noWrap w:val="0"/>
            <w:vAlign w:val="center"/>
          </w:tcPr>
          <w:p w14:paraId="7CD48A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4</w:t>
            </w:r>
          </w:p>
        </w:tc>
      </w:tr>
      <w:tr w14:paraId="68058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6229DA87">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0E1767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废活性炭</w:t>
            </w:r>
          </w:p>
        </w:tc>
        <w:tc>
          <w:tcPr>
            <w:tcW w:w="1639" w:type="dxa"/>
            <w:tcBorders>
              <w:tl2br w:val="nil"/>
              <w:tr2bl w:val="nil"/>
            </w:tcBorders>
            <w:noWrap w:val="0"/>
            <w:vAlign w:val="center"/>
          </w:tcPr>
          <w:p w14:paraId="7505EE48">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4534397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75B91D7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221AAB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highlight w:val="none"/>
                <w:lang w:val="en-US" w:eastAsia="zh-CN"/>
              </w:rPr>
              <w:t>2.6</w:t>
            </w:r>
          </w:p>
        </w:tc>
        <w:tc>
          <w:tcPr>
            <w:tcW w:w="1558" w:type="dxa"/>
            <w:tcBorders>
              <w:tl2br w:val="nil"/>
              <w:tr2bl w:val="nil"/>
            </w:tcBorders>
            <w:noWrap w:val="0"/>
            <w:vAlign w:val="center"/>
          </w:tcPr>
          <w:p w14:paraId="3461026E">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0E1047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2.6</w:t>
            </w:r>
          </w:p>
        </w:tc>
        <w:tc>
          <w:tcPr>
            <w:tcW w:w="1212" w:type="dxa"/>
            <w:tcBorders>
              <w:tl2br w:val="nil"/>
              <w:tr2bl w:val="nil"/>
            </w:tcBorders>
            <w:noWrap w:val="0"/>
            <w:vAlign w:val="center"/>
          </w:tcPr>
          <w:p w14:paraId="7B7ACB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2.6</w:t>
            </w:r>
          </w:p>
        </w:tc>
      </w:tr>
      <w:tr w14:paraId="02888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22D9F71C">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185CD2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eastAsia" w:cs="Times New Roman"/>
                <w:b w:val="0"/>
                <w:bCs/>
                <w:color w:val="auto"/>
                <w:sz w:val="21"/>
                <w:szCs w:val="21"/>
                <w:lang w:val="en-US" w:eastAsia="zh-CN"/>
              </w:rPr>
              <w:t>废抹布手套</w:t>
            </w:r>
          </w:p>
        </w:tc>
        <w:tc>
          <w:tcPr>
            <w:tcW w:w="1639" w:type="dxa"/>
            <w:tcBorders>
              <w:tl2br w:val="nil"/>
              <w:tr2bl w:val="nil"/>
            </w:tcBorders>
            <w:noWrap w:val="0"/>
            <w:vAlign w:val="center"/>
          </w:tcPr>
          <w:p w14:paraId="3544679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noWrap w:val="0"/>
            <w:vAlign w:val="center"/>
          </w:tcPr>
          <w:p w14:paraId="31057A1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noWrap w:val="0"/>
            <w:vAlign w:val="center"/>
          </w:tcPr>
          <w:p w14:paraId="4159857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5B514C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1558" w:type="dxa"/>
            <w:tcBorders>
              <w:tl2br w:val="nil"/>
              <w:tr2bl w:val="nil"/>
            </w:tcBorders>
            <w:noWrap w:val="0"/>
            <w:vAlign w:val="center"/>
          </w:tcPr>
          <w:p w14:paraId="45330950">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 w:val="21"/>
                <w:szCs w:val="21"/>
              </w:rPr>
              <w:t>0</w:t>
            </w:r>
          </w:p>
        </w:tc>
        <w:tc>
          <w:tcPr>
            <w:tcW w:w="1776" w:type="dxa"/>
            <w:tcBorders>
              <w:tl2br w:val="nil"/>
              <w:tr2bl w:val="nil"/>
            </w:tcBorders>
            <w:noWrap w:val="0"/>
            <w:vAlign w:val="center"/>
          </w:tcPr>
          <w:p w14:paraId="518E87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1212" w:type="dxa"/>
            <w:tcBorders>
              <w:tl2br w:val="nil"/>
              <w:tr2bl w:val="nil"/>
            </w:tcBorders>
            <w:noWrap w:val="0"/>
            <w:vAlign w:val="center"/>
          </w:tcPr>
          <w:p w14:paraId="172CB0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+0.1</w:t>
            </w:r>
          </w:p>
        </w:tc>
      </w:tr>
      <w:tr w14:paraId="3FF41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7BABD49F">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1F349B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lang w:val="en-US" w:eastAsia="zh-CN"/>
              </w:rPr>
            </w:pPr>
            <w:r>
              <w:rPr>
                <w:rFonts w:hint="eastAsia" w:cs="Times New Roman"/>
                <w:b w:val="0"/>
                <w:bCs/>
                <w:color w:val="auto"/>
                <w:sz w:val="21"/>
                <w:szCs w:val="21"/>
                <w:lang w:val="en-US" w:eastAsia="zh-CN"/>
              </w:rPr>
              <w:t>沾染大豆油的废布袋</w:t>
            </w:r>
          </w:p>
        </w:tc>
        <w:tc>
          <w:tcPr>
            <w:tcW w:w="1639" w:type="dxa"/>
            <w:tcBorders>
              <w:tl2br w:val="nil"/>
              <w:tr2bl w:val="nil"/>
            </w:tcBorders>
            <w:shd w:val="clear" w:color="auto" w:fill="auto"/>
            <w:noWrap w:val="0"/>
            <w:vAlign w:val="center"/>
          </w:tcPr>
          <w:p w14:paraId="645B160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shd w:val="clear" w:color="auto" w:fill="auto"/>
            <w:noWrap w:val="0"/>
            <w:vAlign w:val="center"/>
          </w:tcPr>
          <w:p w14:paraId="309E806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shd w:val="clear" w:color="auto" w:fill="auto"/>
            <w:noWrap w:val="0"/>
            <w:vAlign w:val="center"/>
          </w:tcPr>
          <w:p w14:paraId="25CBA7B1">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3D3EFC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1558" w:type="dxa"/>
            <w:tcBorders>
              <w:tl2br w:val="nil"/>
              <w:tr2bl w:val="nil"/>
            </w:tcBorders>
            <w:shd w:val="clear" w:color="auto" w:fill="auto"/>
            <w:noWrap w:val="0"/>
            <w:vAlign w:val="center"/>
          </w:tcPr>
          <w:p w14:paraId="3FE878A5">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248362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c>
          <w:tcPr>
            <w:tcW w:w="1212" w:type="dxa"/>
            <w:tcBorders>
              <w:tl2br w:val="nil"/>
              <w:tr2bl w:val="nil"/>
            </w:tcBorders>
            <w:shd w:val="clear" w:color="auto" w:fill="auto"/>
            <w:noWrap w:val="0"/>
            <w:vAlign w:val="center"/>
          </w:tcPr>
          <w:p w14:paraId="02BF03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w:t>
            </w:r>
          </w:p>
        </w:tc>
      </w:tr>
      <w:tr w14:paraId="53E52D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04" w:type="dxa"/>
            <w:vMerge w:val="continue"/>
            <w:tcBorders>
              <w:tl2br w:val="nil"/>
              <w:tr2bl w:val="nil"/>
            </w:tcBorders>
            <w:noWrap w:val="0"/>
            <w:vAlign w:val="center"/>
          </w:tcPr>
          <w:p w14:paraId="1826041E">
            <w:pPr>
              <w:pStyle w:val="15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rPr>
                <w:rFonts w:hint="default" w:ascii="Times New Roman" w:hAnsi="Times New Roman" w:eastAsia="宋体" w:cs="Times New Roman"/>
                <w:snapToGrid w:val="0"/>
                <w:color w:val="auto"/>
                <w:kern w:val="21"/>
                <w:sz w:val="21"/>
                <w:szCs w:val="21"/>
              </w:rPr>
            </w:pPr>
          </w:p>
        </w:tc>
        <w:tc>
          <w:tcPr>
            <w:tcW w:w="1291" w:type="dxa"/>
            <w:tcBorders>
              <w:tl2br w:val="nil"/>
              <w:tr2bl w:val="nil"/>
            </w:tcBorders>
            <w:shd w:val="clear" w:color="auto" w:fill="auto"/>
            <w:noWrap w:val="0"/>
            <w:vAlign w:val="center"/>
          </w:tcPr>
          <w:p w14:paraId="30E0B0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 w:val="0"/>
                <w:bCs/>
                <w:color w:val="auto"/>
                <w:sz w:val="21"/>
                <w:szCs w:val="21"/>
                <w:lang w:val="en-US" w:eastAsia="zh-CN"/>
              </w:rPr>
            </w:pPr>
            <w:r>
              <w:rPr>
                <w:rFonts w:hint="eastAsia" w:cs="Times New Roman"/>
                <w:b w:val="0"/>
                <w:bCs/>
                <w:color w:val="auto"/>
                <w:sz w:val="21"/>
                <w:szCs w:val="21"/>
                <w:lang w:val="en-US" w:eastAsia="zh-CN"/>
              </w:rPr>
              <w:t>油泥</w:t>
            </w:r>
          </w:p>
        </w:tc>
        <w:tc>
          <w:tcPr>
            <w:tcW w:w="1639" w:type="dxa"/>
            <w:tcBorders>
              <w:tl2br w:val="nil"/>
              <w:tr2bl w:val="nil"/>
            </w:tcBorders>
            <w:shd w:val="clear" w:color="auto" w:fill="auto"/>
            <w:noWrap w:val="0"/>
            <w:vAlign w:val="center"/>
          </w:tcPr>
          <w:p w14:paraId="0C4C52C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591" w:type="dxa"/>
            <w:tcBorders>
              <w:tl2br w:val="nil"/>
              <w:tr2bl w:val="nil"/>
            </w:tcBorders>
            <w:shd w:val="clear" w:color="auto" w:fill="auto"/>
            <w:noWrap w:val="0"/>
            <w:vAlign w:val="center"/>
          </w:tcPr>
          <w:p w14:paraId="2A5690D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07" w:type="dxa"/>
            <w:tcBorders>
              <w:tl2br w:val="nil"/>
              <w:tr2bl w:val="nil"/>
            </w:tcBorders>
            <w:shd w:val="clear" w:color="auto" w:fill="auto"/>
            <w:noWrap w:val="0"/>
            <w:vAlign w:val="center"/>
          </w:tcPr>
          <w:p w14:paraId="40D8DB11">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710" w:type="dxa"/>
            <w:tcBorders>
              <w:tl2br w:val="nil"/>
              <w:tr2bl w:val="nil"/>
            </w:tcBorders>
            <w:shd w:val="clear" w:color="auto" w:fill="auto"/>
            <w:noWrap w:val="0"/>
            <w:vAlign w:val="center"/>
          </w:tcPr>
          <w:p w14:paraId="02659B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w:t>
            </w:r>
          </w:p>
        </w:tc>
        <w:tc>
          <w:tcPr>
            <w:tcW w:w="1558" w:type="dxa"/>
            <w:tcBorders>
              <w:tl2br w:val="nil"/>
              <w:tr2bl w:val="nil"/>
            </w:tcBorders>
            <w:shd w:val="clear" w:color="auto" w:fill="auto"/>
            <w:noWrap w:val="0"/>
            <w:vAlign w:val="center"/>
          </w:tcPr>
          <w:p w14:paraId="51F6D8A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 w:val="21"/>
                <w:szCs w:val="21"/>
              </w:rPr>
              <w:t>0</w:t>
            </w:r>
          </w:p>
        </w:tc>
        <w:tc>
          <w:tcPr>
            <w:tcW w:w="1776" w:type="dxa"/>
            <w:tcBorders>
              <w:tl2br w:val="nil"/>
              <w:tr2bl w:val="nil"/>
            </w:tcBorders>
            <w:shd w:val="clear" w:color="auto" w:fill="auto"/>
            <w:noWrap w:val="0"/>
            <w:vAlign w:val="center"/>
          </w:tcPr>
          <w:p w14:paraId="37D48A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w:t>
            </w:r>
          </w:p>
        </w:tc>
        <w:tc>
          <w:tcPr>
            <w:tcW w:w="1212" w:type="dxa"/>
            <w:tcBorders>
              <w:tl2br w:val="nil"/>
              <w:tr2bl w:val="nil"/>
            </w:tcBorders>
            <w:shd w:val="clear" w:color="auto" w:fill="auto"/>
            <w:noWrap w:val="0"/>
            <w:vAlign w:val="center"/>
          </w:tcPr>
          <w:p w14:paraId="24CE9D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4</w:t>
            </w:r>
          </w:p>
        </w:tc>
      </w:tr>
    </w:tbl>
    <w:p w14:paraId="4E6557E0">
      <w:pPr>
        <w:pStyle w:val="152"/>
        <w:spacing w:beforeLines="0" w:afterLines="0" w:line="240" w:lineRule="auto"/>
        <w:jc w:val="left"/>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p>
    <w:p w14:paraId="3BA5D09F">
      <w:pPr>
        <w:rPr>
          <w:rFonts w:hint="default" w:ascii="Times New Roman" w:hAnsi="Times New Roman" w:eastAsia="宋体" w:cs="Times New Roman"/>
          <w:color w:val="auto"/>
        </w:rPr>
        <w:sectPr>
          <w:footerReference r:id="rId8" w:type="default"/>
          <w:pgSz w:w="16838" w:h="11906" w:orient="landscape"/>
          <w:pgMar w:top="1418" w:right="1440" w:bottom="1418" w:left="144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462AEED1">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注释</w:t>
      </w:r>
    </w:p>
    <w:p w14:paraId="4B0CB97A">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本报告表附图、附件：</w:t>
      </w:r>
    </w:p>
    <w:p w14:paraId="451352D2">
      <w:pPr>
        <w:ind w:firstLine="4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p>
    <w:p w14:paraId="2C21DEED">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附图1  项目地理位置图</w:t>
      </w:r>
    </w:p>
    <w:p w14:paraId="4D847D72">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附图2  建设项目周围环境概况图</w:t>
      </w:r>
    </w:p>
    <w:p w14:paraId="6096C2DB">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附图3  项目</w:t>
      </w:r>
      <w:r>
        <w:rPr>
          <w:rFonts w:hint="eastAsia" w:ascii="Times New Roman" w:hAnsi="Times New Roman" w:eastAsia="宋体" w:cs="Times New Roman"/>
          <w:color w:val="auto"/>
          <w:kern w:val="0"/>
          <w:sz w:val="24"/>
          <w:szCs w:val="24"/>
          <w:highlight w:val="none"/>
          <w:lang w:val="en-US" w:eastAsia="zh-CN"/>
        </w:rPr>
        <w:t>园</w:t>
      </w:r>
      <w:r>
        <w:rPr>
          <w:rFonts w:hint="default" w:ascii="Times New Roman" w:hAnsi="Times New Roman" w:eastAsia="宋体" w:cs="Times New Roman"/>
          <w:color w:val="auto"/>
          <w:kern w:val="0"/>
          <w:sz w:val="24"/>
          <w:szCs w:val="24"/>
          <w:highlight w:val="none"/>
          <w:lang w:val="en-US" w:eastAsia="zh-CN"/>
        </w:rPr>
        <w:t>区及车间平面布置图</w:t>
      </w:r>
    </w:p>
    <w:p w14:paraId="613D174A">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附图4  项目所在地规划图</w:t>
      </w:r>
    </w:p>
    <w:p w14:paraId="05BD0F87">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附图5  区域水系及地表水监测断面示意图</w:t>
      </w:r>
    </w:p>
    <w:p w14:paraId="4D7A7CB3">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附图6  常州市生态空间保护区域分布图</w:t>
      </w:r>
    </w:p>
    <w:p w14:paraId="716B8C86">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附图7  常州市“三线一单”环境管控单元位置关系图</w:t>
      </w:r>
    </w:p>
    <w:p w14:paraId="572555FE">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附图</w:t>
      </w:r>
      <w:r>
        <w:rPr>
          <w:rFonts w:hint="eastAsia" w:ascii="Times New Roman" w:hAnsi="Times New Roman" w:eastAsia="宋体" w:cs="Times New Roman"/>
          <w:color w:val="auto"/>
          <w:kern w:val="0"/>
          <w:sz w:val="24"/>
          <w:szCs w:val="24"/>
          <w:highlight w:val="none"/>
          <w:lang w:val="en-US" w:eastAsia="zh-CN"/>
        </w:rPr>
        <w:t>8</w:t>
      </w:r>
      <w:r>
        <w:rPr>
          <w:rFonts w:hint="default" w:ascii="Times New Roman" w:hAnsi="Times New Roman" w:eastAsia="宋体" w:cs="Times New Roman"/>
          <w:color w:val="auto"/>
          <w:kern w:val="0"/>
          <w:sz w:val="24"/>
          <w:szCs w:val="24"/>
          <w:highlight w:val="none"/>
          <w:lang w:val="en-US" w:eastAsia="zh-CN"/>
        </w:rPr>
        <w:t xml:space="preserve"> </w:t>
      </w:r>
      <w:r>
        <w:rPr>
          <w:rFonts w:hint="eastAsia"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lang w:val="en-US" w:eastAsia="zh-CN"/>
        </w:rPr>
        <w:t>江苏省2023年生态环境分区管控动态更新成果图</w:t>
      </w:r>
    </w:p>
    <w:p w14:paraId="6B8A3754">
      <w:pPr>
        <w:widowControl/>
        <w:spacing w:line="360" w:lineRule="auto"/>
        <w:ind w:firstLine="480" w:firstLineChars="200"/>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附图9  常州市</w:t>
      </w:r>
      <w:r>
        <w:rPr>
          <w:rFonts w:hint="eastAsia" w:cs="Times New Roman"/>
          <w:color w:val="auto"/>
          <w:kern w:val="0"/>
          <w:sz w:val="24"/>
          <w:szCs w:val="24"/>
          <w:highlight w:val="none"/>
          <w:lang w:val="en-US" w:eastAsia="zh-CN"/>
        </w:rPr>
        <w:t>金坛区</w:t>
      </w:r>
      <w:r>
        <w:rPr>
          <w:rFonts w:hint="eastAsia" w:ascii="Times New Roman" w:hAnsi="Times New Roman" w:eastAsia="宋体" w:cs="Times New Roman"/>
          <w:color w:val="auto"/>
          <w:kern w:val="0"/>
          <w:sz w:val="24"/>
          <w:szCs w:val="24"/>
          <w:highlight w:val="none"/>
          <w:lang w:val="en-US" w:eastAsia="zh-CN"/>
        </w:rPr>
        <w:t>国土空间规划图</w:t>
      </w:r>
    </w:p>
    <w:p w14:paraId="6727F2E6">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附图</w:t>
      </w:r>
      <w:r>
        <w:rPr>
          <w:rFonts w:hint="eastAsia" w:cs="Times New Roman"/>
          <w:color w:val="auto"/>
          <w:kern w:val="0"/>
          <w:sz w:val="24"/>
          <w:szCs w:val="24"/>
          <w:highlight w:val="none"/>
          <w:lang w:val="en-US" w:eastAsia="zh-CN"/>
        </w:rPr>
        <w:t>10</w:t>
      </w:r>
      <w:r>
        <w:rPr>
          <w:rFonts w:hint="eastAsia" w:ascii="Times New Roman" w:hAnsi="Times New Roman" w:eastAsia="宋体" w:cs="Times New Roman"/>
          <w:color w:val="auto"/>
          <w:kern w:val="0"/>
          <w:sz w:val="24"/>
          <w:szCs w:val="24"/>
          <w:highlight w:val="none"/>
          <w:lang w:val="en-US" w:eastAsia="zh-CN"/>
        </w:rPr>
        <w:t xml:space="preserve"> </w:t>
      </w:r>
      <w:r>
        <w:rPr>
          <w:rFonts w:hint="eastAsia" w:cs="Times New Roman"/>
          <w:color w:val="auto"/>
          <w:kern w:val="0"/>
          <w:sz w:val="24"/>
          <w:szCs w:val="24"/>
          <w:highlight w:val="none"/>
          <w:lang w:val="en-US" w:eastAsia="zh-CN"/>
        </w:rPr>
        <w:t>区域土地利用现状图</w:t>
      </w:r>
    </w:p>
    <w:p w14:paraId="03A93E9E">
      <w:pPr>
        <w:ind w:left="0" w:leftChars="0" w:firstLine="0" w:firstLineChars="0"/>
        <w:rPr>
          <w:rFonts w:hint="default" w:ascii="Times New Roman" w:hAnsi="Times New Roman" w:eastAsia="宋体" w:cs="Times New Roman"/>
          <w:color w:val="auto"/>
          <w:sz w:val="24"/>
          <w:szCs w:val="24"/>
        </w:rPr>
        <w:sectPr>
          <w:pgSz w:w="11921" w:h="16838"/>
          <w:pgMar w:top="1587" w:right="1417" w:bottom="1587" w:left="1417"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2E94B59B">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w:t>
      </w:r>
    </w:p>
    <w:p w14:paraId="2EFAEC42">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 环评委托书</w:t>
      </w:r>
    </w:p>
    <w:p w14:paraId="0452B37A">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附件2 营业执照</w:t>
      </w:r>
    </w:p>
    <w:p w14:paraId="1C25AA5A">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附件3 法人身份证复印件</w:t>
      </w:r>
    </w:p>
    <w:p w14:paraId="783D528E">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附件4 投资项目备案表</w:t>
      </w:r>
    </w:p>
    <w:p w14:paraId="13649CA2">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附件5 土地证</w:t>
      </w:r>
    </w:p>
    <w:p w14:paraId="4D2B8774">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附件6</w:t>
      </w:r>
      <w:r>
        <w:rPr>
          <w:rFonts w:hint="eastAsia"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val="en-US" w:eastAsia="zh-CN"/>
        </w:rPr>
        <w:t xml:space="preserve"> </w:t>
      </w:r>
      <w:r>
        <w:rPr>
          <w:rFonts w:hint="eastAsia" w:ascii="Times New Roman" w:hAnsi="Times New Roman" w:eastAsia="宋体" w:cs="Times New Roman"/>
          <w:color w:val="auto"/>
          <w:kern w:val="0"/>
          <w:sz w:val="24"/>
          <w:szCs w:val="24"/>
          <w:highlight w:val="none"/>
          <w:lang w:val="en-US" w:eastAsia="zh-CN"/>
        </w:rPr>
        <w:t>租房合同</w:t>
      </w:r>
    </w:p>
    <w:p w14:paraId="3BA9FAEE">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附件6</w:t>
      </w:r>
      <w:r>
        <w:rPr>
          <w:rFonts w:hint="eastAsia"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val="en-US" w:eastAsia="zh-CN"/>
        </w:rPr>
        <w:t xml:space="preserve"> </w:t>
      </w:r>
      <w:r>
        <w:rPr>
          <w:rFonts w:hint="eastAsia" w:cs="Times New Roman"/>
          <w:color w:val="auto"/>
          <w:kern w:val="0"/>
          <w:sz w:val="24"/>
          <w:szCs w:val="24"/>
          <w:highlight w:val="none"/>
          <w:lang w:val="en-US" w:eastAsia="zh-CN"/>
        </w:rPr>
        <w:t>管理</w:t>
      </w:r>
      <w:r>
        <w:rPr>
          <w:rFonts w:hint="eastAsia" w:ascii="Times New Roman" w:hAnsi="Times New Roman" w:eastAsia="宋体" w:cs="Times New Roman"/>
          <w:color w:val="auto"/>
          <w:kern w:val="0"/>
          <w:sz w:val="24"/>
          <w:szCs w:val="24"/>
          <w:highlight w:val="none"/>
          <w:lang w:val="en-US" w:eastAsia="zh-CN"/>
        </w:rPr>
        <w:t>授权书</w:t>
      </w:r>
    </w:p>
    <w:p w14:paraId="7CB8C9AB">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 xml:space="preserve">附件7 </w:t>
      </w:r>
      <w:r>
        <w:rPr>
          <w:rFonts w:hint="eastAsia" w:ascii="Times New Roman" w:hAnsi="Times New Roman" w:eastAsia="宋体" w:cs="Times New Roman"/>
          <w:color w:val="auto"/>
          <w:kern w:val="0"/>
          <w:sz w:val="24"/>
          <w:szCs w:val="24"/>
          <w:highlight w:val="none"/>
          <w:lang w:val="en-US" w:eastAsia="zh-CN"/>
        </w:rPr>
        <w:t>危废处置承诺书</w:t>
      </w:r>
    </w:p>
    <w:p w14:paraId="6F8D7BF6">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附件8 污水拟接管协议</w:t>
      </w:r>
    </w:p>
    <w:p w14:paraId="650B981C">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附件9 建设项目环境影响申报审批现场勘察表</w:t>
      </w:r>
    </w:p>
    <w:p w14:paraId="5BF090E7">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附件10 环评工程师现场工作影像资料</w:t>
      </w:r>
    </w:p>
    <w:p w14:paraId="1CEA8E35">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附件11 环境质量现状监测报告、引用说明</w:t>
      </w:r>
    </w:p>
    <w:p w14:paraId="4552778C">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附件12 公示承诺书</w:t>
      </w:r>
    </w:p>
    <w:p w14:paraId="6F3D5655">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附件13 建设单位承诺书</w:t>
      </w:r>
    </w:p>
    <w:p w14:paraId="2D23031D">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附件14 技术服务合同</w:t>
      </w:r>
    </w:p>
    <w:p w14:paraId="05179B78">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 xml:space="preserve">附件15 </w:t>
      </w:r>
      <w:r>
        <w:rPr>
          <w:rFonts w:hint="default" w:ascii="Times New Roman" w:hAnsi="Times New Roman" w:eastAsia="宋体" w:cs="Times New Roman"/>
          <w:color w:val="auto"/>
          <w:kern w:val="0"/>
          <w:sz w:val="24"/>
          <w:szCs w:val="24"/>
          <w:highlight w:val="none"/>
          <w:lang w:val="en-US" w:eastAsia="zh-CN"/>
        </w:rPr>
        <w:t>江苏省生态环境分区管控综合查询报告书</w:t>
      </w:r>
    </w:p>
    <w:p w14:paraId="56DBA597">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附件16 规划环评批文</w:t>
      </w:r>
    </w:p>
    <w:p w14:paraId="38CDB8E2">
      <w:pPr>
        <w:rPr>
          <w:color w:val="auto"/>
        </w:rPr>
      </w:pPr>
    </w:p>
    <w:p w14:paraId="7BC5B52E">
      <w:pPr>
        <w:widowControl/>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p>
    <w:p w14:paraId="439A6D11">
      <w:pPr>
        <w:spacing w:line="240" w:lineRule="auto"/>
        <w:rPr>
          <w:rFonts w:hint="eastAsia" w:eastAsia="宋体"/>
          <w:color w:val="auto"/>
          <w:lang w:eastAsia="zh-CN"/>
        </w:rPr>
      </w:pPr>
      <w:r>
        <w:rPr>
          <w:rFonts w:hint="eastAsia" w:eastAsia="宋体"/>
          <w:color w:val="auto"/>
          <w:lang w:eastAsia="zh-CN"/>
        </w:rPr>
        <w:drawing>
          <wp:inline distT="0" distB="0" distL="114300" distR="114300">
            <wp:extent cx="5763895" cy="8150225"/>
            <wp:effectExtent l="0" t="0" r="12065" b="3175"/>
            <wp:docPr id="29" name="图片 29" descr="附图组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图组_01"/>
                    <pic:cNvPicPr>
                      <a:picLocks noChangeAspect="1"/>
                    </pic:cNvPicPr>
                  </pic:nvPicPr>
                  <pic:blipFill>
                    <a:blip r:embed="rId3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8" name="图片 28" descr="附图组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附图组_02"/>
                    <pic:cNvPicPr>
                      <a:picLocks noChangeAspect="1"/>
                    </pic:cNvPicPr>
                  </pic:nvPicPr>
                  <pic:blipFill>
                    <a:blip r:embed="rId3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7" name="图片 27" descr="附图组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附图组_03"/>
                    <pic:cNvPicPr>
                      <a:picLocks noChangeAspect="1"/>
                    </pic:cNvPicPr>
                  </pic:nvPicPr>
                  <pic:blipFill>
                    <a:blip r:embed="rId3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6" name="图片 26" descr="附图组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附图组_04"/>
                    <pic:cNvPicPr>
                      <a:picLocks noChangeAspect="1"/>
                    </pic:cNvPicPr>
                  </pic:nvPicPr>
                  <pic:blipFill>
                    <a:blip r:embed="rId3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5" name="图片 25" descr="附图组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附图组_05"/>
                    <pic:cNvPicPr>
                      <a:picLocks noChangeAspect="1"/>
                    </pic:cNvPicPr>
                  </pic:nvPicPr>
                  <pic:blipFill>
                    <a:blip r:embed="rId3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4" name="图片 24" descr="附图组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附图组_06"/>
                    <pic:cNvPicPr>
                      <a:picLocks noChangeAspect="1"/>
                    </pic:cNvPicPr>
                  </pic:nvPicPr>
                  <pic:blipFill>
                    <a:blip r:embed="rId3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3" name="图片 23" descr="附图组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附图组_07"/>
                    <pic:cNvPicPr>
                      <a:picLocks noChangeAspect="1"/>
                    </pic:cNvPicPr>
                  </pic:nvPicPr>
                  <pic:blipFill>
                    <a:blip r:embed="rId4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2" name="图片 22" descr="附图组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附图组_08"/>
                    <pic:cNvPicPr>
                      <a:picLocks noChangeAspect="1"/>
                    </pic:cNvPicPr>
                  </pic:nvPicPr>
                  <pic:blipFill>
                    <a:blip r:embed="rId4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1" name="图片 21" descr="附图组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附图组_09"/>
                    <pic:cNvPicPr>
                      <a:picLocks noChangeAspect="1"/>
                    </pic:cNvPicPr>
                  </pic:nvPicPr>
                  <pic:blipFill>
                    <a:blip r:embed="rId4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20" name="图片 20" descr="附图组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附图组_10"/>
                    <pic:cNvPicPr>
                      <a:picLocks noChangeAspect="1"/>
                    </pic:cNvPicPr>
                  </pic:nvPicPr>
                  <pic:blipFill>
                    <a:blip r:embed="rId43"/>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19" name="图片 19" descr="附图组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附图组_11"/>
                    <pic:cNvPicPr>
                      <a:picLocks noChangeAspect="1"/>
                    </pic:cNvPicPr>
                  </pic:nvPicPr>
                  <pic:blipFill>
                    <a:blip r:embed="rId4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18" name="图片 18" descr="附图组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附图组_12"/>
                    <pic:cNvPicPr>
                      <a:picLocks noChangeAspect="1"/>
                    </pic:cNvPicPr>
                  </pic:nvPicPr>
                  <pic:blipFill>
                    <a:blip r:embed="rId4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7" name="图片 77" descr="附件组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附件组_01"/>
                    <pic:cNvPicPr>
                      <a:picLocks noChangeAspect="1"/>
                    </pic:cNvPicPr>
                  </pic:nvPicPr>
                  <pic:blipFill>
                    <a:blip r:embed="rId4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6" name="图片 76" descr="附件组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附件组_02"/>
                    <pic:cNvPicPr>
                      <a:picLocks noChangeAspect="1"/>
                    </pic:cNvPicPr>
                  </pic:nvPicPr>
                  <pic:blipFill>
                    <a:blip r:embed="rId4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5" name="图片 75" descr="附件组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附件组_03"/>
                    <pic:cNvPicPr>
                      <a:picLocks noChangeAspect="1"/>
                    </pic:cNvPicPr>
                  </pic:nvPicPr>
                  <pic:blipFill>
                    <a:blip r:embed="rId4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4" name="图片 74" descr="附件组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附件组_04"/>
                    <pic:cNvPicPr>
                      <a:picLocks noChangeAspect="1"/>
                    </pic:cNvPicPr>
                  </pic:nvPicPr>
                  <pic:blipFill>
                    <a:blip r:embed="rId4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3" name="图片 73" descr="附件组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附件组_05"/>
                    <pic:cNvPicPr>
                      <a:picLocks noChangeAspect="1"/>
                    </pic:cNvPicPr>
                  </pic:nvPicPr>
                  <pic:blipFill>
                    <a:blip r:embed="rId5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2" name="图片 72" descr="附件组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附件组_06"/>
                    <pic:cNvPicPr>
                      <a:picLocks noChangeAspect="1"/>
                    </pic:cNvPicPr>
                  </pic:nvPicPr>
                  <pic:blipFill>
                    <a:blip r:embed="rId5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1" name="图片 71" descr="附件组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附件组_07"/>
                    <pic:cNvPicPr>
                      <a:picLocks noChangeAspect="1"/>
                    </pic:cNvPicPr>
                  </pic:nvPicPr>
                  <pic:blipFill>
                    <a:blip r:embed="rId5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70" name="图片 70" descr="附件组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附件组_08"/>
                    <pic:cNvPicPr>
                      <a:picLocks noChangeAspect="1"/>
                    </pic:cNvPicPr>
                  </pic:nvPicPr>
                  <pic:blipFill>
                    <a:blip r:embed="rId53"/>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9" name="图片 69" descr="附件组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附件组_09"/>
                    <pic:cNvPicPr>
                      <a:picLocks noChangeAspect="1"/>
                    </pic:cNvPicPr>
                  </pic:nvPicPr>
                  <pic:blipFill>
                    <a:blip r:embed="rId5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8" name="图片 68" descr="附件组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附件组_10"/>
                    <pic:cNvPicPr>
                      <a:picLocks noChangeAspect="1"/>
                    </pic:cNvPicPr>
                  </pic:nvPicPr>
                  <pic:blipFill>
                    <a:blip r:embed="rId5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7" name="图片 67" descr="附件组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附件组_11"/>
                    <pic:cNvPicPr>
                      <a:picLocks noChangeAspect="1"/>
                    </pic:cNvPicPr>
                  </pic:nvPicPr>
                  <pic:blipFill>
                    <a:blip r:embed="rId5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6" name="图片 66" descr="附件组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附件组_12"/>
                    <pic:cNvPicPr>
                      <a:picLocks noChangeAspect="1"/>
                    </pic:cNvPicPr>
                  </pic:nvPicPr>
                  <pic:blipFill>
                    <a:blip r:embed="rId5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5" name="图片 65" descr="附件组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附件组_13"/>
                    <pic:cNvPicPr>
                      <a:picLocks noChangeAspect="1"/>
                    </pic:cNvPicPr>
                  </pic:nvPicPr>
                  <pic:blipFill>
                    <a:blip r:embed="rId5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4" name="图片 64" descr="附件组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附件组_14"/>
                    <pic:cNvPicPr>
                      <a:picLocks noChangeAspect="1"/>
                    </pic:cNvPicPr>
                  </pic:nvPicPr>
                  <pic:blipFill>
                    <a:blip r:embed="rId5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3" name="图片 63" descr="附件组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附件组_15"/>
                    <pic:cNvPicPr>
                      <a:picLocks noChangeAspect="1"/>
                    </pic:cNvPicPr>
                  </pic:nvPicPr>
                  <pic:blipFill>
                    <a:blip r:embed="rId6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2" name="图片 62" descr="附件组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附件组_16"/>
                    <pic:cNvPicPr>
                      <a:picLocks noChangeAspect="1"/>
                    </pic:cNvPicPr>
                  </pic:nvPicPr>
                  <pic:blipFill>
                    <a:blip r:embed="rId6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1" name="图片 61" descr="附件组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附件组_17"/>
                    <pic:cNvPicPr>
                      <a:picLocks noChangeAspect="1"/>
                    </pic:cNvPicPr>
                  </pic:nvPicPr>
                  <pic:blipFill>
                    <a:blip r:embed="rId6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60" name="图片 60" descr="附件组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附件组_18"/>
                    <pic:cNvPicPr>
                      <a:picLocks noChangeAspect="1"/>
                    </pic:cNvPicPr>
                  </pic:nvPicPr>
                  <pic:blipFill>
                    <a:blip r:embed="rId63"/>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9" name="图片 59" descr="附件组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附件组_19"/>
                    <pic:cNvPicPr>
                      <a:picLocks noChangeAspect="1"/>
                    </pic:cNvPicPr>
                  </pic:nvPicPr>
                  <pic:blipFill>
                    <a:blip r:embed="rId6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8" name="图片 58" descr="附件组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附件组_20"/>
                    <pic:cNvPicPr>
                      <a:picLocks noChangeAspect="1"/>
                    </pic:cNvPicPr>
                  </pic:nvPicPr>
                  <pic:blipFill>
                    <a:blip r:embed="rId6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7" name="图片 57" descr="附件组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附件组_21"/>
                    <pic:cNvPicPr>
                      <a:picLocks noChangeAspect="1"/>
                    </pic:cNvPicPr>
                  </pic:nvPicPr>
                  <pic:blipFill>
                    <a:blip r:embed="rId6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6" name="图片 56" descr="附件组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附件组_22"/>
                    <pic:cNvPicPr>
                      <a:picLocks noChangeAspect="1"/>
                    </pic:cNvPicPr>
                  </pic:nvPicPr>
                  <pic:blipFill>
                    <a:blip r:embed="rId6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5" name="图片 55" descr="附件组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附件组_23"/>
                    <pic:cNvPicPr>
                      <a:picLocks noChangeAspect="1"/>
                    </pic:cNvPicPr>
                  </pic:nvPicPr>
                  <pic:blipFill>
                    <a:blip r:embed="rId6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4" name="图片 54" descr="附件组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附件组_24"/>
                    <pic:cNvPicPr>
                      <a:picLocks noChangeAspect="1"/>
                    </pic:cNvPicPr>
                  </pic:nvPicPr>
                  <pic:blipFill>
                    <a:blip r:embed="rId6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3" name="图片 53" descr="附件组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附件组_25"/>
                    <pic:cNvPicPr>
                      <a:picLocks noChangeAspect="1"/>
                    </pic:cNvPicPr>
                  </pic:nvPicPr>
                  <pic:blipFill>
                    <a:blip r:embed="rId7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2" name="图片 52" descr="附件组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附件组_26"/>
                    <pic:cNvPicPr>
                      <a:picLocks noChangeAspect="1"/>
                    </pic:cNvPicPr>
                  </pic:nvPicPr>
                  <pic:blipFill>
                    <a:blip r:embed="rId7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1" name="图片 51" descr="附件组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件组_27"/>
                    <pic:cNvPicPr>
                      <a:picLocks noChangeAspect="1"/>
                    </pic:cNvPicPr>
                  </pic:nvPicPr>
                  <pic:blipFill>
                    <a:blip r:embed="rId7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50" name="图片 50" descr="附件组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附件组_28"/>
                    <pic:cNvPicPr>
                      <a:picLocks noChangeAspect="1"/>
                    </pic:cNvPicPr>
                  </pic:nvPicPr>
                  <pic:blipFill>
                    <a:blip r:embed="rId73"/>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9" name="图片 49" descr="附件组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附件组_29"/>
                    <pic:cNvPicPr>
                      <a:picLocks noChangeAspect="1"/>
                    </pic:cNvPicPr>
                  </pic:nvPicPr>
                  <pic:blipFill>
                    <a:blip r:embed="rId7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8" name="图片 48" descr="附件组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附件组_30"/>
                    <pic:cNvPicPr>
                      <a:picLocks noChangeAspect="1"/>
                    </pic:cNvPicPr>
                  </pic:nvPicPr>
                  <pic:blipFill>
                    <a:blip r:embed="rId7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7" name="图片 47" descr="附件组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附件组_31"/>
                    <pic:cNvPicPr>
                      <a:picLocks noChangeAspect="1"/>
                    </pic:cNvPicPr>
                  </pic:nvPicPr>
                  <pic:blipFill>
                    <a:blip r:embed="rId7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6" name="图片 46" descr="附件组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附件组_32"/>
                    <pic:cNvPicPr>
                      <a:picLocks noChangeAspect="1"/>
                    </pic:cNvPicPr>
                  </pic:nvPicPr>
                  <pic:blipFill>
                    <a:blip r:embed="rId7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5" name="图片 45" descr="附件组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附件组_33"/>
                    <pic:cNvPicPr>
                      <a:picLocks noChangeAspect="1"/>
                    </pic:cNvPicPr>
                  </pic:nvPicPr>
                  <pic:blipFill>
                    <a:blip r:embed="rId7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4" name="图片 44" descr="附件组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件组_34"/>
                    <pic:cNvPicPr>
                      <a:picLocks noChangeAspect="1"/>
                    </pic:cNvPicPr>
                  </pic:nvPicPr>
                  <pic:blipFill>
                    <a:blip r:embed="rId7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3" name="图片 43" descr="附件组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附件组_35"/>
                    <pic:cNvPicPr>
                      <a:picLocks noChangeAspect="1"/>
                    </pic:cNvPicPr>
                  </pic:nvPicPr>
                  <pic:blipFill>
                    <a:blip r:embed="rId8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2" name="图片 42" descr="附件组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附件组_36"/>
                    <pic:cNvPicPr>
                      <a:picLocks noChangeAspect="1"/>
                    </pic:cNvPicPr>
                  </pic:nvPicPr>
                  <pic:blipFill>
                    <a:blip r:embed="rId8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1" name="图片 41" descr="附件组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附件组_37"/>
                    <pic:cNvPicPr>
                      <a:picLocks noChangeAspect="1"/>
                    </pic:cNvPicPr>
                  </pic:nvPicPr>
                  <pic:blipFill>
                    <a:blip r:embed="rId8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40" name="图片 40" descr="附件组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附件组_38"/>
                    <pic:cNvPicPr>
                      <a:picLocks noChangeAspect="1"/>
                    </pic:cNvPicPr>
                  </pic:nvPicPr>
                  <pic:blipFill>
                    <a:blip r:embed="rId83"/>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9" name="图片 39" descr="附件组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附件组_39"/>
                    <pic:cNvPicPr>
                      <a:picLocks noChangeAspect="1"/>
                    </pic:cNvPicPr>
                  </pic:nvPicPr>
                  <pic:blipFill>
                    <a:blip r:embed="rId84"/>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8" name="图片 38" descr="附件组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件组_40"/>
                    <pic:cNvPicPr>
                      <a:picLocks noChangeAspect="1"/>
                    </pic:cNvPicPr>
                  </pic:nvPicPr>
                  <pic:blipFill>
                    <a:blip r:embed="rId85"/>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7" name="图片 37" descr="附件组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组_41"/>
                    <pic:cNvPicPr>
                      <a:picLocks noChangeAspect="1"/>
                    </pic:cNvPicPr>
                  </pic:nvPicPr>
                  <pic:blipFill>
                    <a:blip r:embed="rId86"/>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6" name="图片 36" descr="附件组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件组_42"/>
                    <pic:cNvPicPr>
                      <a:picLocks noChangeAspect="1"/>
                    </pic:cNvPicPr>
                  </pic:nvPicPr>
                  <pic:blipFill>
                    <a:blip r:embed="rId87"/>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5" name="图片 35" descr="附件组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件组_43"/>
                    <pic:cNvPicPr>
                      <a:picLocks noChangeAspect="1"/>
                    </pic:cNvPicPr>
                  </pic:nvPicPr>
                  <pic:blipFill>
                    <a:blip r:embed="rId88"/>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4" name="图片 34" descr="附件组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件组_44"/>
                    <pic:cNvPicPr>
                      <a:picLocks noChangeAspect="1"/>
                    </pic:cNvPicPr>
                  </pic:nvPicPr>
                  <pic:blipFill>
                    <a:blip r:embed="rId89"/>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3" name="图片 33" descr="附件组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组_45"/>
                    <pic:cNvPicPr>
                      <a:picLocks noChangeAspect="1"/>
                    </pic:cNvPicPr>
                  </pic:nvPicPr>
                  <pic:blipFill>
                    <a:blip r:embed="rId90"/>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2" name="图片 32" descr="附件组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组_46"/>
                    <pic:cNvPicPr>
                      <a:picLocks noChangeAspect="1"/>
                    </pic:cNvPicPr>
                  </pic:nvPicPr>
                  <pic:blipFill>
                    <a:blip r:embed="rId91"/>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1" name="图片 31" descr="附件组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组_47"/>
                    <pic:cNvPicPr>
                      <a:picLocks noChangeAspect="1"/>
                    </pic:cNvPicPr>
                  </pic:nvPicPr>
                  <pic:blipFill>
                    <a:blip r:embed="rId92"/>
                    <a:stretch>
                      <a:fillRect/>
                    </a:stretch>
                  </pic:blipFill>
                  <pic:spPr>
                    <a:xfrm>
                      <a:off x="0" y="0"/>
                      <a:ext cx="5763895" cy="8150225"/>
                    </a:xfrm>
                    <a:prstGeom prst="rect">
                      <a:avLst/>
                    </a:prstGeom>
                  </pic:spPr>
                </pic:pic>
              </a:graphicData>
            </a:graphic>
          </wp:inline>
        </w:drawing>
      </w:r>
      <w:r>
        <w:rPr>
          <w:rFonts w:hint="eastAsia" w:eastAsia="宋体"/>
          <w:color w:val="auto"/>
          <w:lang w:eastAsia="zh-CN"/>
        </w:rPr>
        <w:drawing>
          <wp:inline distT="0" distB="0" distL="114300" distR="114300">
            <wp:extent cx="5763895" cy="8150225"/>
            <wp:effectExtent l="0" t="0" r="12065" b="3175"/>
            <wp:docPr id="30" name="图片 30" descr="附件组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组_48"/>
                    <pic:cNvPicPr>
                      <a:picLocks noChangeAspect="1"/>
                    </pic:cNvPicPr>
                  </pic:nvPicPr>
                  <pic:blipFill>
                    <a:blip r:embed="rId93"/>
                    <a:stretch>
                      <a:fillRect/>
                    </a:stretch>
                  </pic:blipFill>
                  <pic:spPr>
                    <a:xfrm>
                      <a:off x="0" y="0"/>
                      <a:ext cx="5763895" cy="8150225"/>
                    </a:xfrm>
                    <a:prstGeom prst="rect">
                      <a:avLst/>
                    </a:prstGeom>
                  </pic:spPr>
                </pic:pic>
              </a:graphicData>
            </a:graphic>
          </wp:inline>
        </w:drawing>
      </w:r>
    </w:p>
    <w:sectPr>
      <w:headerReference r:id="rId9" w:type="default"/>
      <w:footerReference r:id="rId10" w:type="default"/>
      <w:pgSz w:w="11921" w:h="16838"/>
      <w:pgMar w:top="1587" w:right="1417" w:bottom="1587" w:left="1417" w:header="851" w:footer="992" w:gutter="0"/>
      <w:pgBorders w:offsetFrom="page">
        <w:top w:val="none" w:sz="0" w:space="0"/>
        <w:left w:val="none" w:sz="0" w:space="0"/>
        <w:bottom w:val="none" w:sz="0" w:space="0"/>
        <w:right w:val="none" w:sz="0" w:space="0"/>
      </w:pgBorders>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TimesNewRomanPSMT">
    <w:altName w:val="Times New Roman"/>
    <w:panose1 w:val="00000000000000000000"/>
    <w:charset w:val="80"/>
    <w:family w:val="roman"/>
    <w:pitch w:val="default"/>
    <w:sig w:usb0="00000000" w:usb1="00000000" w:usb2="00000010" w:usb3="00000000" w:csb0="00020000"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7F" w:usb3="00000000" w:csb0="203F01FF" w:csb1="DFFF0000"/>
  </w:font>
  <w:font w:name="TimesNewRoman">
    <w:altName w:val="Times New Roman"/>
    <w:panose1 w:val="00000000000000000000"/>
    <w:charset w:val="00"/>
    <w:family w:val="roman"/>
    <w:pitch w:val="default"/>
    <w:sig w:usb0="00000000" w:usb1="00000000" w:usb2="00000010" w:usb3="00000000" w:csb0="00040001" w:csb1="00000000"/>
  </w:font>
  <w:font w:name="Tahoma">
    <w:panose1 w:val="020B0604030504040204"/>
    <w:charset w:val="00"/>
    <w:family w:val="swiss"/>
    <w:pitch w:val="default"/>
    <w:sig w:usb0="E1002EFF" w:usb1="C000605B" w:usb2="00000029" w:usb3="00000000" w:csb0="200101FF" w:csb1="20280000"/>
  </w:font>
  <w:font w:name="幼圆">
    <w:altName w:val="宋体"/>
    <w:panose1 w:val="02010509060101010101"/>
    <w:charset w:val="86"/>
    <w:family w:val="modern"/>
    <w:pitch w:val="default"/>
    <w:sig w:usb0="00000000" w:usb1="0000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_GB2312">
    <w:altName w:val="Times New Roman"/>
    <w:panose1 w:val="00000000000000000000"/>
    <w:charset w:val="00"/>
    <w:family w:val="auto"/>
    <w:pitch w:val="default"/>
    <w:sig w:usb0="00000000" w:usb1="00000000" w:usb2="00000000" w:usb3="00000000" w:csb0="00000001" w:csb1="00000000"/>
  </w:font>
  <w:font w:name="..">
    <w:altName w:val="黑体"/>
    <w:panose1 w:val="00000000000000000000"/>
    <w:charset w:val="86"/>
    <w:family w:val="auto"/>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Microsoft YaHei UI">
    <w:altName w:val="宋体"/>
    <w:panose1 w:val="020B0503020204020204"/>
    <w:charset w:val="86"/>
    <w:family w:val="swiss"/>
    <w:pitch w:val="default"/>
    <w:sig w:usb0="00000000" w:usb1="00000000" w:usb2="00000016" w:usb3="00000000" w:csb0="0004001F"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3AF51C">
    <w:pPr>
      <w:pStyle w:val="27"/>
      <w:framePr w:wrap="around" w:vAnchor="text" w:hAnchor="margin" w:xAlign="center" w:y="1"/>
      <w:ind w:firstLine="360"/>
      <w:rPr>
        <w:rStyle w:val="49"/>
      </w:rPr>
    </w:pPr>
    <w:r>
      <w:fldChar w:fldCharType="begin"/>
    </w:r>
    <w:r>
      <w:rPr>
        <w:rStyle w:val="49"/>
      </w:rPr>
      <w:instrText xml:space="preserve">PAGE  </w:instrText>
    </w:r>
    <w:r>
      <w:fldChar w:fldCharType="separate"/>
    </w:r>
    <w:r>
      <w:rPr>
        <w:rStyle w:val="49"/>
      </w:rPr>
      <w:t>39</w:t>
    </w:r>
    <w:r>
      <w:fldChar w:fldCharType="end"/>
    </w:r>
  </w:p>
  <w:p w14:paraId="409D13C7">
    <w:pPr>
      <w:pStyle w:val="27"/>
      <w:ind w:right="360"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B5167C">
    <w:pPr>
      <w:pStyle w:val="27"/>
      <w:framePr w:wrap="around" w:vAnchor="text" w:hAnchor="margin" w:xAlign="center" w:y="1"/>
      <w:ind w:firstLine="360"/>
      <w:rPr>
        <w:rStyle w:val="49"/>
      </w:rPr>
    </w:pPr>
    <w:r>
      <w:fldChar w:fldCharType="begin"/>
    </w:r>
    <w:r>
      <w:rPr>
        <w:rStyle w:val="49"/>
      </w:rPr>
      <w:instrText xml:space="preserve">PAGE  </w:instrText>
    </w:r>
    <w:r>
      <w:fldChar w:fldCharType="separate"/>
    </w:r>
    <w:r>
      <w:rPr>
        <w:rStyle w:val="49"/>
      </w:rPr>
      <w:t>81</w:t>
    </w:r>
    <w:r>
      <w:fldChar w:fldCharType="end"/>
    </w:r>
  </w:p>
  <w:p w14:paraId="5C23E7C6">
    <w:pPr>
      <w:pStyle w:val="27"/>
      <w:ind w:right="360"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7ED650">
    <w:pPr>
      <w:pStyle w:val="27"/>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80" name="文本框 3"/>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2DDDD5E4">
                          <w:pPr>
                            <w:pStyle w:val="27"/>
                          </w:pPr>
                          <w:r>
                            <w:fldChar w:fldCharType="begin"/>
                          </w:r>
                          <w:r>
                            <w:instrText xml:space="preserve"> PAGE  \* MERGEFORMAT </w:instrText>
                          </w:r>
                          <w:r>
                            <w:fldChar w:fldCharType="separate"/>
                          </w:r>
                          <w:r>
                            <w:t>107</w:t>
                          </w:r>
                          <w:r>
                            <w:fldChar w:fldCharType="end"/>
                          </w:r>
                        </w:p>
                      </w:txbxContent>
                    </wps:txbx>
                    <wps:bodyPr vert="horz" wrap="none" lIns="0" tIns="0" rIns="0" bIns="0" anchor="t" anchorCtr="0" upright="1">
                      <a:spAutoFit/>
                    </wps:bodyPr>
                  </wps:wsp>
                </a:graphicData>
              </a:graphic>
            </wp:anchor>
          </w:drawing>
        </mc:Choice>
        <mc:Fallback>
          <w:pict>
            <v:shape id="文本框 3"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l&#10;3GF10gAAAAMBAAAPAAAAAAAAAAEAIAAAACIAAABkcnMvZG93bnJldi54bWxQSwECFAAUAAAACACH&#10;TuJAeEtkHfEBAADUAwAADgAAAAAAAAABACAAAAAhAQAAZHJzL2Uyb0RvYy54bWxQSwUGAAAAAAYA&#10;BgBZAQAAhAUAAAAA&#10;">
              <v:fill on="f" focussize="0,0"/>
              <v:stroke on="f" weight="0.5pt"/>
              <v:imagedata o:title=""/>
              <o:lock v:ext="edit" aspectratio="f"/>
              <v:textbox inset="0mm,0mm,0mm,0mm" style="mso-fit-shape-to-text:t;">
                <w:txbxContent>
                  <w:p w14:paraId="2DDDD5E4">
                    <w:pPr>
                      <w:pStyle w:val="27"/>
                    </w:pPr>
                    <w:r>
                      <w:fldChar w:fldCharType="begin"/>
                    </w:r>
                    <w:r>
                      <w:instrText xml:space="preserve"> PAGE  \* MERGEFORMAT </w:instrText>
                    </w:r>
                    <w:r>
                      <w:fldChar w:fldCharType="separate"/>
                    </w:r>
                    <w:r>
                      <w:t>107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7CF42">
    <w:pPr>
      <w:pStyle w:val="27"/>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2" name="文本框 3"/>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w="6350">
                        <a:noFill/>
                      </a:ln>
                      <a:effectLst/>
                    </wps:spPr>
                    <wps:txbx>
                      <w:txbxContent>
                        <w:p w14:paraId="3E10415C">
                          <w:pPr>
                            <w:pStyle w:val="27"/>
                          </w:pPr>
                          <w:r>
                            <w:fldChar w:fldCharType="begin"/>
                          </w:r>
                          <w:r>
                            <w:instrText xml:space="preserve"> PAGE  \* MERGEFORMAT </w:instrText>
                          </w:r>
                          <w:r>
                            <w:fldChar w:fldCharType="separate"/>
                          </w:r>
                          <w:r>
                            <w:t>107</w:t>
                          </w:r>
                          <w:r>
                            <w:fldChar w:fldCharType="end"/>
                          </w:r>
                        </w:p>
                      </w:txbxContent>
                    </wps:txbx>
                    <wps:bodyPr vert="horz" wrap="none" lIns="0" tIns="0" rIns="0" bIns="0" anchor="t" anchorCtr="0" upright="1">
                      <a:spAutoFit/>
                    </wps:bodyPr>
                  </wps:wsp>
                </a:graphicData>
              </a:graphic>
            </wp:anchor>
          </w:drawing>
        </mc:Choice>
        <mc:Fallback>
          <w:pict>
            <v:shape id="文本框 3"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l&#10;3GF10gAAAAMBAAAPAAAAAAAAAAEAIAAAACIAAABkcnMvZG93bnJldi54bWxQSwECFAAUAAAACACH&#10;TuJA+MMNyvEBAADUAwAADgAAAAAAAAABACAAAAAhAQAAZHJzL2Uyb0RvYy54bWxQSwUGAAAAAAYA&#10;BgBZAQAAhAUAAAAA&#10;">
              <v:fill on="f" focussize="0,0"/>
              <v:stroke on="f" weight="0.5pt"/>
              <v:imagedata o:title=""/>
              <o:lock v:ext="edit" aspectratio="f"/>
              <v:textbox inset="0mm,0mm,0mm,0mm" style="mso-fit-shape-to-text:t;">
                <w:txbxContent>
                  <w:p w14:paraId="3E10415C">
                    <w:pPr>
                      <w:pStyle w:val="27"/>
                    </w:pPr>
                    <w:r>
                      <w:fldChar w:fldCharType="begin"/>
                    </w:r>
                    <w:r>
                      <w:instrText xml:space="preserve"> PAGE  \* MERGEFORMAT </w:instrText>
                    </w:r>
                    <w:r>
                      <w:fldChar w:fldCharType="separate"/>
                    </w:r>
                    <w:r>
                      <w:t>107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FE482">
    <w:pPr>
      <w:ind w:firstLine="0" w:firstLineChars="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63672">
    <w:pPr>
      <w:ind w:firstLine="0" w:firstLineChars="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6833EC"/>
    <w:multiLevelType w:val="singleLevel"/>
    <w:tmpl w:val="A36833EC"/>
    <w:lvl w:ilvl="0" w:tentative="0">
      <w:start w:val="1"/>
      <w:numFmt w:val="bullet"/>
      <w:pStyle w:val="23"/>
      <w:lvlText w:val=""/>
      <w:lvlJc w:val="left"/>
      <w:pPr>
        <w:tabs>
          <w:tab w:val="left" w:pos="2040"/>
        </w:tabs>
        <w:ind w:left="2040" w:hanging="360"/>
      </w:pPr>
      <w:rPr>
        <w:rFonts w:hint="default" w:ascii="Wingdings" w:hAnsi="Wingdings"/>
      </w:rPr>
    </w:lvl>
  </w:abstractNum>
  <w:abstractNum w:abstractNumId="1">
    <w:nsid w:val="00F1A598"/>
    <w:multiLevelType w:val="singleLevel"/>
    <w:tmpl w:val="00F1A598"/>
    <w:lvl w:ilvl="0" w:tentative="0">
      <w:start w:val="1"/>
      <w:numFmt w:val="decimal"/>
      <w:lvlText w:val="(%1)"/>
      <w:lvlJc w:val="left"/>
      <w:pPr>
        <w:tabs>
          <w:tab w:val="left" w:pos="312"/>
        </w:tabs>
      </w:pPr>
    </w:lvl>
  </w:abstractNum>
  <w:abstractNum w:abstractNumId="2">
    <w:nsid w:val="0738B95D"/>
    <w:multiLevelType w:val="singleLevel"/>
    <w:tmpl w:val="0738B95D"/>
    <w:lvl w:ilvl="0" w:tentative="0">
      <w:start w:val="11"/>
      <w:numFmt w:val="upperLetter"/>
      <w:suff w:val="nothing"/>
      <w:lvlText w:val="%1-"/>
      <w:lvlJc w:val="left"/>
    </w:lvl>
  </w:abstractNum>
  <w:abstractNum w:abstractNumId="3">
    <w:nsid w:val="6124702A"/>
    <w:multiLevelType w:val="singleLevel"/>
    <w:tmpl w:val="6124702A"/>
    <w:lvl w:ilvl="0" w:tentative="0">
      <w:start w:val="1"/>
      <w:numFmt w:val="decimal"/>
      <w:lvlText w:val="(%1)"/>
      <w:lvlJc w:val="left"/>
      <w:pPr>
        <w:tabs>
          <w:tab w:val="left" w:pos="312"/>
        </w:tabs>
      </w:pPr>
    </w:lvl>
  </w:abstractNum>
  <w:abstractNum w:abstractNumId="4">
    <w:nsid w:val="65E6574B"/>
    <w:multiLevelType w:val="singleLevel"/>
    <w:tmpl w:val="65E6574B"/>
    <w:lvl w:ilvl="0" w:tentative="0">
      <w:start w:val="11"/>
      <w:numFmt w:val="decimal"/>
      <w:suff w:val="nothing"/>
      <w:lvlText w:val="（%1）"/>
      <w:lvlJc w:val="left"/>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2"/>
  <w:drawingGridVerticalSpacing w:val="3"/>
  <w:displayHorizontalDrawingGridEvery w:val="1"/>
  <w:displayVerticalDrawingGridEvery w:val="1"/>
  <w:noPunctuationKerning w:val="1"/>
  <w:characterSpacingControl w:val="compressPunctuation"/>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yODhmYmIxZTNiMzQxOWYyNGRlZDZlYmRhYjg5Y2IifQ=="/>
  </w:docVars>
  <w:rsids>
    <w:rsidRoot w:val="00172A27"/>
    <w:rsid w:val="00000330"/>
    <w:rsid w:val="00000CA3"/>
    <w:rsid w:val="000011E5"/>
    <w:rsid w:val="00001378"/>
    <w:rsid w:val="0000193E"/>
    <w:rsid w:val="000019A4"/>
    <w:rsid w:val="00001D60"/>
    <w:rsid w:val="00002112"/>
    <w:rsid w:val="00002799"/>
    <w:rsid w:val="000032FC"/>
    <w:rsid w:val="00003309"/>
    <w:rsid w:val="00003682"/>
    <w:rsid w:val="00003694"/>
    <w:rsid w:val="00003764"/>
    <w:rsid w:val="00003907"/>
    <w:rsid w:val="000046F9"/>
    <w:rsid w:val="00004A7B"/>
    <w:rsid w:val="000050A9"/>
    <w:rsid w:val="00005FA3"/>
    <w:rsid w:val="0000658C"/>
    <w:rsid w:val="000066D0"/>
    <w:rsid w:val="00006AF0"/>
    <w:rsid w:val="00006D84"/>
    <w:rsid w:val="00006FA1"/>
    <w:rsid w:val="00007404"/>
    <w:rsid w:val="000076DD"/>
    <w:rsid w:val="00007F50"/>
    <w:rsid w:val="00007FC0"/>
    <w:rsid w:val="00011AD9"/>
    <w:rsid w:val="00012304"/>
    <w:rsid w:val="00012431"/>
    <w:rsid w:val="00012860"/>
    <w:rsid w:val="00012893"/>
    <w:rsid w:val="000129F0"/>
    <w:rsid w:val="00012BB6"/>
    <w:rsid w:val="00012E9C"/>
    <w:rsid w:val="00012F58"/>
    <w:rsid w:val="000131E6"/>
    <w:rsid w:val="000133CA"/>
    <w:rsid w:val="00013655"/>
    <w:rsid w:val="00013842"/>
    <w:rsid w:val="0001390A"/>
    <w:rsid w:val="000139C6"/>
    <w:rsid w:val="00013A9C"/>
    <w:rsid w:val="00013CF1"/>
    <w:rsid w:val="00013D42"/>
    <w:rsid w:val="00013DFF"/>
    <w:rsid w:val="00013FDF"/>
    <w:rsid w:val="000148AA"/>
    <w:rsid w:val="000148D5"/>
    <w:rsid w:val="00014B2D"/>
    <w:rsid w:val="00014D9F"/>
    <w:rsid w:val="00014FB5"/>
    <w:rsid w:val="00015175"/>
    <w:rsid w:val="00015443"/>
    <w:rsid w:val="00015505"/>
    <w:rsid w:val="00015C39"/>
    <w:rsid w:val="00015DF5"/>
    <w:rsid w:val="00015E4B"/>
    <w:rsid w:val="00016401"/>
    <w:rsid w:val="00016BE4"/>
    <w:rsid w:val="00017171"/>
    <w:rsid w:val="000172C9"/>
    <w:rsid w:val="0001772F"/>
    <w:rsid w:val="00017AC8"/>
    <w:rsid w:val="000202E8"/>
    <w:rsid w:val="00020DDB"/>
    <w:rsid w:val="0002131A"/>
    <w:rsid w:val="0002167D"/>
    <w:rsid w:val="00021738"/>
    <w:rsid w:val="00021892"/>
    <w:rsid w:val="00021ABD"/>
    <w:rsid w:val="00021C4D"/>
    <w:rsid w:val="00022032"/>
    <w:rsid w:val="000220EC"/>
    <w:rsid w:val="00022129"/>
    <w:rsid w:val="000223D0"/>
    <w:rsid w:val="00023669"/>
    <w:rsid w:val="00023BA0"/>
    <w:rsid w:val="00023D9C"/>
    <w:rsid w:val="00023E65"/>
    <w:rsid w:val="000241D6"/>
    <w:rsid w:val="000243F4"/>
    <w:rsid w:val="00024A14"/>
    <w:rsid w:val="000257A0"/>
    <w:rsid w:val="00025B8B"/>
    <w:rsid w:val="00025C56"/>
    <w:rsid w:val="00025D18"/>
    <w:rsid w:val="0002621F"/>
    <w:rsid w:val="00026C5F"/>
    <w:rsid w:val="00026CB1"/>
    <w:rsid w:val="00026D9F"/>
    <w:rsid w:val="0002702F"/>
    <w:rsid w:val="0002766D"/>
    <w:rsid w:val="00027780"/>
    <w:rsid w:val="00027B73"/>
    <w:rsid w:val="00027D93"/>
    <w:rsid w:val="000302ED"/>
    <w:rsid w:val="000305BC"/>
    <w:rsid w:val="00030AD9"/>
    <w:rsid w:val="00031087"/>
    <w:rsid w:val="00031701"/>
    <w:rsid w:val="000317FA"/>
    <w:rsid w:val="00031C04"/>
    <w:rsid w:val="00032010"/>
    <w:rsid w:val="000330AE"/>
    <w:rsid w:val="00033274"/>
    <w:rsid w:val="00033787"/>
    <w:rsid w:val="000341DE"/>
    <w:rsid w:val="00034472"/>
    <w:rsid w:val="000344E6"/>
    <w:rsid w:val="000344F4"/>
    <w:rsid w:val="000346A0"/>
    <w:rsid w:val="000347DD"/>
    <w:rsid w:val="000349B4"/>
    <w:rsid w:val="00034BC0"/>
    <w:rsid w:val="00034E6B"/>
    <w:rsid w:val="000352A8"/>
    <w:rsid w:val="000353C4"/>
    <w:rsid w:val="00035B47"/>
    <w:rsid w:val="00035B9E"/>
    <w:rsid w:val="00035BD0"/>
    <w:rsid w:val="00036317"/>
    <w:rsid w:val="000367C8"/>
    <w:rsid w:val="00036BC8"/>
    <w:rsid w:val="00036F60"/>
    <w:rsid w:val="00037370"/>
    <w:rsid w:val="00037476"/>
    <w:rsid w:val="000401F2"/>
    <w:rsid w:val="0004023B"/>
    <w:rsid w:val="00040372"/>
    <w:rsid w:val="00040627"/>
    <w:rsid w:val="00040B45"/>
    <w:rsid w:val="00040EBC"/>
    <w:rsid w:val="00040FD9"/>
    <w:rsid w:val="00041305"/>
    <w:rsid w:val="0004166D"/>
    <w:rsid w:val="00041D89"/>
    <w:rsid w:val="00041DFD"/>
    <w:rsid w:val="000425A1"/>
    <w:rsid w:val="000425B9"/>
    <w:rsid w:val="000425BD"/>
    <w:rsid w:val="000429E0"/>
    <w:rsid w:val="00042CF1"/>
    <w:rsid w:val="00042E12"/>
    <w:rsid w:val="00043144"/>
    <w:rsid w:val="00043366"/>
    <w:rsid w:val="0004380F"/>
    <w:rsid w:val="00043F24"/>
    <w:rsid w:val="000440CF"/>
    <w:rsid w:val="0004476A"/>
    <w:rsid w:val="00044EDB"/>
    <w:rsid w:val="00045504"/>
    <w:rsid w:val="00045963"/>
    <w:rsid w:val="000459F2"/>
    <w:rsid w:val="00045F24"/>
    <w:rsid w:val="000462F2"/>
    <w:rsid w:val="000464FB"/>
    <w:rsid w:val="00046D2B"/>
    <w:rsid w:val="000479DB"/>
    <w:rsid w:val="00050715"/>
    <w:rsid w:val="00051B08"/>
    <w:rsid w:val="0005231A"/>
    <w:rsid w:val="000524D2"/>
    <w:rsid w:val="00052605"/>
    <w:rsid w:val="00052684"/>
    <w:rsid w:val="0005270C"/>
    <w:rsid w:val="00052D9B"/>
    <w:rsid w:val="000531EF"/>
    <w:rsid w:val="000532DC"/>
    <w:rsid w:val="0005364A"/>
    <w:rsid w:val="000536CF"/>
    <w:rsid w:val="00054FE2"/>
    <w:rsid w:val="00055214"/>
    <w:rsid w:val="0005588D"/>
    <w:rsid w:val="00055A39"/>
    <w:rsid w:val="00055CDB"/>
    <w:rsid w:val="00055E2D"/>
    <w:rsid w:val="0005634F"/>
    <w:rsid w:val="00056679"/>
    <w:rsid w:val="00056B2B"/>
    <w:rsid w:val="00056EB0"/>
    <w:rsid w:val="000577D0"/>
    <w:rsid w:val="000603B2"/>
    <w:rsid w:val="00060985"/>
    <w:rsid w:val="00061070"/>
    <w:rsid w:val="000622F7"/>
    <w:rsid w:val="0006349D"/>
    <w:rsid w:val="00063707"/>
    <w:rsid w:val="00063876"/>
    <w:rsid w:val="00063D9D"/>
    <w:rsid w:val="00063F00"/>
    <w:rsid w:val="00064ADA"/>
    <w:rsid w:val="00064B0E"/>
    <w:rsid w:val="00064C17"/>
    <w:rsid w:val="00065B4C"/>
    <w:rsid w:val="000668B7"/>
    <w:rsid w:val="00066A52"/>
    <w:rsid w:val="000672FC"/>
    <w:rsid w:val="0006737D"/>
    <w:rsid w:val="00067547"/>
    <w:rsid w:val="00067839"/>
    <w:rsid w:val="00067BBA"/>
    <w:rsid w:val="00067CDB"/>
    <w:rsid w:val="0007005C"/>
    <w:rsid w:val="00070DC9"/>
    <w:rsid w:val="000712E9"/>
    <w:rsid w:val="00071338"/>
    <w:rsid w:val="00071D9D"/>
    <w:rsid w:val="00071F0F"/>
    <w:rsid w:val="00071F13"/>
    <w:rsid w:val="000720EE"/>
    <w:rsid w:val="0007222A"/>
    <w:rsid w:val="00072EA6"/>
    <w:rsid w:val="00072FB5"/>
    <w:rsid w:val="00073439"/>
    <w:rsid w:val="00073604"/>
    <w:rsid w:val="0007377D"/>
    <w:rsid w:val="000738BF"/>
    <w:rsid w:val="0007397B"/>
    <w:rsid w:val="00073AD1"/>
    <w:rsid w:val="00073FE7"/>
    <w:rsid w:val="000741C4"/>
    <w:rsid w:val="000749F7"/>
    <w:rsid w:val="00074ACB"/>
    <w:rsid w:val="0007530B"/>
    <w:rsid w:val="0007538F"/>
    <w:rsid w:val="00075440"/>
    <w:rsid w:val="00075B27"/>
    <w:rsid w:val="00075B43"/>
    <w:rsid w:val="000761C1"/>
    <w:rsid w:val="00076202"/>
    <w:rsid w:val="000763E1"/>
    <w:rsid w:val="00076449"/>
    <w:rsid w:val="0007712D"/>
    <w:rsid w:val="0007737C"/>
    <w:rsid w:val="000774AC"/>
    <w:rsid w:val="000809C2"/>
    <w:rsid w:val="000809CB"/>
    <w:rsid w:val="000814C1"/>
    <w:rsid w:val="0008179C"/>
    <w:rsid w:val="000820D2"/>
    <w:rsid w:val="00082B59"/>
    <w:rsid w:val="00083153"/>
    <w:rsid w:val="00083507"/>
    <w:rsid w:val="00083816"/>
    <w:rsid w:val="00083C89"/>
    <w:rsid w:val="0008474E"/>
    <w:rsid w:val="00084CAC"/>
    <w:rsid w:val="00084D67"/>
    <w:rsid w:val="00084E13"/>
    <w:rsid w:val="00085037"/>
    <w:rsid w:val="00085074"/>
    <w:rsid w:val="000850ED"/>
    <w:rsid w:val="000851B3"/>
    <w:rsid w:val="00085809"/>
    <w:rsid w:val="00085F1D"/>
    <w:rsid w:val="00085F58"/>
    <w:rsid w:val="00085FC3"/>
    <w:rsid w:val="0008662A"/>
    <w:rsid w:val="00087514"/>
    <w:rsid w:val="0008782A"/>
    <w:rsid w:val="00090C7C"/>
    <w:rsid w:val="00090E03"/>
    <w:rsid w:val="0009153B"/>
    <w:rsid w:val="00091A36"/>
    <w:rsid w:val="00091AA8"/>
    <w:rsid w:val="00091F8D"/>
    <w:rsid w:val="00092323"/>
    <w:rsid w:val="000923BB"/>
    <w:rsid w:val="00092777"/>
    <w:rsid w:val="00092DBF"/>
    <w:rsid w:val="000932EC"/>
    <w:rsid w:val="000933E0"/>
    <w:rsid w:val="00093EFE"/>
    <w:rsid w:val="0009416E"/>
    <w:rsid w:val="00094290"/>
    <w:rsid w:val="00094B3C"/>
    <w:rsid w:val="00094C8D"/>
    <w:rsid w:val="00094CA4"/>
    <w:rsid w:val="000951EA"/>
    <w:rsid w:val="000959B1"/>
    <w:rsid w:val="000962A7"/>
    <w:rsid w:val="00097800"/>
    <w:rsid w:val="000978C4"/>
    <w:rsid w:val="00097B02"/>
    <w:rsid w:val="000A01A0"/>
    <w:rsid w:val="000A0239"/>
    <w:rsid w:val="000A0AAC"/>
    <w:rsid w:val="000A0CC7"/>
    <w:rsid w:val="000A0E66"/>
    <w:rsid w:val="000A16BA"/>
    <w:rsid w:val="000A18AC"/>
    <w:rsid w:val="000A1BC6"/>
    <w:rsid w:val="000A1F3B"/>
    <w:rsid w:val="000A202A"/>
    <w:rsid w:val="000A2554"/>
    <w:rsid w:val="000A256C"/>
    <w:rsid w:val="000A278D"/>
    <w:rsid w:val="000A2824"/>
    <w:rsid w:val="000A2B26"/>
    <w:rsid w:val="000A2C2F"/>
    <w:rsid w:val="000A2CE0"/>
    <w:rsid w:val="000A3246"/>
    <w:rsid w:val="000A34F9"/>
    <w:rsid w:val="000A4755"/>
    <w:rsid w:val="000A49AD"/>
    <w:rsid w:val="000A4E58"/>
    <w:rsid w:val="000A4EAF"/>
    <w:rsid w:val="000A577C"/>
    <w:rsid w:val="000A6799"/>
    <w:rsid w:val="000A6A47"/>
    <w:rsid w:val="000A6AB5"/>
    <w:rsid w:val="000A709F"/>
    <w:rsid w:val="000A7423"/>
    <w:rsid w:val="000A787E"/>
    <w:rsid w:val="000A79D7"/>
    <w:rsid w:val="000A7F22"/>
    <w:rsid w:val="000A7F43"/>
    <w:rsid w:val="000B0110"/>
    <w:rsid w:val="000B01ED"/>
    <w:rsid w:val="000B09E0"/>
    <w:rsid w:val="000B162C"/>
    <w:rsid w:val="000B19B6"/>
    <w:rsid w:val="000B1D97"/>
    <w:rsid w:val="000B2099"/>
    <w:rsid w:val="000B2421"/>
    <w:rsid w:val="000B28F5"/>
    <w:rsid w:val="000B2B8C"/>
    <w:rsid w:val="000B2DAA"/>
    <w:rsid w:val="000B3B4C"/>
    <w:rsid w:val="000B3BEB"/>
    <w:rsid w:val="000B4A36"/>
    <w:rsid w:val="000B548C"/>
    <w:rsid w:val="000B582C"/>
    <w:rsid w:val="000B5902"/>
    <w:rsid w:val="000B5A11"/>
    <w:rsid w:val="000B5C88"/>
    <w:rsid w:val="000B5F83"/>
    <w:rsid w:val="000B633B"/>
    <w:rsid w:val="000B635A"/>
    <w:rsid w:val="000B65C5"/>
    <w:rsid w:val="000B6994"/>
    <w:rsid w:val="000B69CB"/>
    <w:rsid w:val="000B6D29"/>
    <w:rsid w:val="000B7375"/>
    <w:rsid w:val="000B758C"/>
    <w:rsid w:val="000B7614"/>
    <w:rsid w:val="000B76B0"/>
    <w:rsid w:val="000B78E7"/>
    <w:rsid w:val="000B79F7"/>
    <w:rsid w:val="000B7B5D"/>
    <w:rsid w:val="000B7C02"/>
    <w:rsid w:val="000C0235"/>
    <w:rsid w:val="000C0824"/>
    <w:rsid w:val="000C082E"/>
    <w:rsid w:val="000C0891"/>
    <w:rsid w:val="000C089E"/>
    <w:rsid w:val="000C0990"/>
    <w:rsid w:val="000C121E"/>
    <w:rsid w:val="000C12E0"/>
    <w:rsid w:val="000C1423"/>
    <w:rsid w:val="000C2629"/>
    <w:rsid w:val="000C2EFF"/>
    <w:rsid w:val="000C345D"/>
    <w:rsid w:val="000C36FF"/>
    <w:rsid w:val="000C3AA7"/>
    <w:rsid w:val="000C3EA7"/>
    <w:rsid w:val="000C4317"/>
    <w:rsid w:val="000C43BF"/>
    <w:rsid w:val="000C4463"/>
    <w:rsid w:val="000C4B3A"/>
    <w:rsid w:val="000C5AFF"/>
    <w:rsid w:val="000C6A26"/>
    <w:rsid w:val="000C6D52"/>
    <w:rsid w:val="000C6DF8"/>
    <w:rsid w:val="000C6F90"/>
    <w:rsid w:val="000C768A"/>
    <w:rsid w:val="000C7838"/>
    <w:rsid w:val="000D03EE"/>
    <w:rsid w:val="000D0D68"/>
    <w:rsid w:val="000D1997"/>
    <w:rsid w:val="000D2463"/>
    <w:rsid w:val="000D2674"/>
    <w:rsid w:val="000D2E18"/>
    <w:rsid w:val="000D2FD7"/>
    <w:rsid w:val="000D2FED"/>
    <w:rsid w:val="000D322C"/>
    <w:rsid w:val="000D38FA"/>
    <w:rsid w:val="000D3DB7"/>
    <w:rsid w:val="000D3FC7"/>
    <w:rsid w:val="000D4001"/>
    <w:rsid w:val="000D443E"/>
    <w:rsid w:val="000D44CF"/>
    <w:rsid w:val="000D4506"/>
    <w:rsid w:val="000D4745"/>
    <w:rsid w:val="000D4D35"/>
    <w:rsid w:val="000D500A"/>
    <w:rsid w:val="000D5A66"/>
    <w:rsid w:val="000D5C74"/>
    <w:rsid w:val="000D5F1E"/>
    <w:rsid w:val="000D638E"/>
    <w:rsid w:val="000D6FCA"/>
    <w:rsid w:val="000D706B"/>
    <w:rsid w:val="000D7070"/>
    <w:rsid w:val="000D731D"/>
    <w:rsid w:val="000D7417"/>
    <w:rsid w:val="000D7916"/>
    <w:rsid w:val="000D79FC"/>
    <w:rsid w:val="000D7C36"/>
    <w:rsid w:val="000E066E"/>
    <w:rsid w:val="000E0B92"/>
    <w:rsid w:val="000E14ED"/>
    <w:rsid w:val="000E15DC"/>
    <w:rsid w:val="000E18E3"/>
    <w:rsid w:val="000E191A"/>
    <w:rsid w:val="000E1CEC"/>
    <w:rsid w:val="000E2C61"/>
    <w:rsid w:val="000E2E93"/>
    <w:rsid w:val="000E37D6"/>
    <w:rsid w:val="000E3C77"/>
    <w:rsid w:val="000E4118"/>
    <w:rsid w:val="000E4143"/>
    <w:rsid w:val="000E416D"/>
    <w:rsid w:val="000E442E"/>
    <w:rsid w:val="000E4749"/>
    <w:rsid w:val="000E4DBD"/>
    <w:rsid w:val="000E5800"/>
    <w:rsid w:val="000E60F6"/>
    <w:rsid w:val="000E628F"/>
    <w:rsid w:val="000E62A8"/>
    <w:rsid w:val="000E672E"/>
    <w:rsid w:val="000E67DA"/>
    <w:rsid w:val="000E699B"/>
    <w:rsid w:val="000E76A4"/>
    <w:rsid w:val="000E7D45"/>
    <w:rsid w:val="000E7F69"/>
    <w:rsid w:val="000F00F8"/>
    <w:rsid w:val="000F0D04"/>
    <w:rsid w:val="000F29AE"/>
    <w:rsid w:val="000F2E0C"/>
    <w:rsid w:val="000F2F97"/>
    <w:rsid w:val="000F3051"/>
    <w:rsid w:val="000F31FF"/>
    <w:rsid w:val="000F36DD"/>
    <w:rsid w:val="000F3800"/>
    <w:rsid w:val="000F3898"/>
    <w:rsid w:val="000F3C02"/>
    <w:rsid w:val="000F3EA3"/>
    <w:rsid w:val="000F4006"/>
    <w:rsid w:val="000F4CAB"/>
    <w:rsid w:val="000F4EB8"/>
    <w:rsid w:val="000F5480"/>
    <w:rsid w:val="000F55E6"/>
    <w:rsid w:val="000F64FC"/>
    <w:rsid w:val="000F6738"/>
    <w:rsid w:val="000F6A5C"/>
    <w:rsid w:val="000F7567"/>
    <w:rsid w:val="000F797E"/>
    <w:rsid w:val="00100410"/>
    <w:rsid w:val="00100698"/>
    <w:rsid w:val="00100CD1"/>
    <w:rsid w:val="00100D25"/>
    <w:rsid w:val="00100D3C"/>
    <w:rsid w:val="00100DFD"/>
    <w:rsid w:val="00101258"/>
    <w:rsid w:val="001017D7"/>
    <w:rsid w:val="001020B2"/>
    <w:rsid w:val="00102C6B"/>
    <w:rsid w:val="00102C8D"/>
    <w:rsid w:val="001038E4"/>
    <w:rsid w:val="00103AAF"/>
    <w:rsid w:val="00103C45"/>
    <w:rsid w:val="00103D7A"/>
    <w:rsid w:val="00104903"/>
    <w:rsid w:val="00104CA3"/>
    <w:rsid w:val="00104F8F"/>
    <w:rsid w:val="0010549A"/>
    <w:rsid w:val="00105549"/>
    <w:rsid w:val="001064EF"/>
    <w:rsid w:val="001068D4"/>
    <w:rsid w:val="0010690E"/>
    <w:rsid w:val="001074DD"/>
    <w:rsid w:val="00107D34"/>
    <w:rsid w:val="00110087"/>
    <w:rsid w:val="00110A65"/>
    <w:rsid w:val="001113CB"/>
    <w:rsid w:val="00111EAC"/>
    <w:rsid w:val="00112206"/>
    <w:rsid w:val="001125C0"/>
    <w:rsid w:val="00112841"/>
    <w:rsid w:val="00112A90"/>
    <w:rsid w:val="00113108"/>
    <w:rsid w:val="0011347F"/>
    <w:rsid w:val="001137FB"/>
    <w:rsid w:val="00113987"/>
    <w:rsid w:val="00113BF7"/>
    <w:rsid w:val="00113D8A"/>
    <w:rsid w:val="00113F82"/>
    <w:rsid w:val="00113FE5"/>
    <w:rsid w:val="00114273"/>
    <w:rsid w:val="001144DE"/>
    <w:rsid w:val="001148C2"/>
    <w:rsid w:val="00114AE0"/>
    <w:rsid w:val="001160E4"/>
    <w:rsid w:val="0011642A"/>
    <w:rsid w:val="001166CB"/>
    <w:rsid w:val="00116A2B"/>
    <w:rsid w:val="001174E5"/>
    <w:rsid w:val="00117963"/>
    <w:rsid w:val="00117B93"/>
    <w:rsid w:val="0012057E"/>
    <w:rsid w:val="00121206"/>
    <w:rsid w:val="00121921"/>
    <w:rsid w:val="00121C14"/>
    <w:rsid w:val="00121CF0"/>
    <w:rsid w:val="00121DFE"/>
    <w:rsid w:val="001223F5"/>
    <w:rsid w:val="0012279A"/>
    <w:rsid w:val="00122D6B"/>
    <w:rsid w:val="0012333F"/>
    <w:rsid w:val="00123BE7"/>
    <w:rsid w:val="00124125"/>
    <w:rsid w:val="00124D4A"/>
    <w:rsid w:val="00124DC6"/>
    <w:rsid w:val="00125541"/>
    <w:rsid w:val="001259A4"/>
    <w:rsid w:val="001259F5"/>
    <w:rsid w:val="00125BB5"/>
    <w:rsid w:val="0012619B"/>
    <w:rsid w:val="0012647D"/>
    <w:rsid w:val="0012663B"/>
    <w:rsid w:val="001269F9"/>
    <w:rsid w:val="00126F0A"/>
    <w:rsid w:val="001270AF"/>
    <w:rsid w:val="0012727D"/>
    <w:rsid w:val="00127DA3"/>
    <w:rsid w:val="00127EEF"/>
    <w:rsid w:val="001304A9"/>
    <w:rsid w:val="001304B9"/>
    <w:rsid w:val="0013050F"/>
    <w:rsid w:val="00130705"/>
    <w:rsid w:val="001307A8"/>
    <w:rsid w:val="00131239"/>
    <w:rsid w:val="00131849"/>
    <w:rsid w:val="00131D37"/>
    <w:rsid w:val="00132DFE"/>
    <w:rsid w:val="00132E14"/>
    <w:rsid w:val="00133718"/>
    <w:rsid w:val="001339F6"/>
    <w:rsid w:val="00133B6E"/>
    <w:rsid w:val="00133CDB"/>
    <w:rsid w:val="001343D7"/>
    <w:rsid w:val="001346C0"/>
    <w:rsid w:val="00134A07"/>
    <w:rsid w:val="00135CDA"/>
    <w:rsid w:val="00135FCA"/>
    <w:rsid w:val="001360FA"/>
    <w:rsid w:val="001365AE"/>
    <w:rsid w:val="00136D93"/>
    <w:rsid w:val="00137080"/>
    <w:rsid w:val="001403CE"/>
    <w:rsid w:val="001404F5"/>
    <w:rsid w:val="00140F03"/>
    <w:rsid w:val="00141153"/>
    <w:rsid w:val="001414EF"/>
    <w:rsid w:val="001418E8"/>
    <w:rsid w:val="00141CE4"/>
    <w:rsid w:val="00142FE6"/>
    <w:rsid w:val="0014324B"/>
    <w:rsid w:val="00143A88"/>
    <w:rsid w:val="00144D0B"/>
    <w:rsid w:val="00144DB6"/>
    <w:rsid w:val="00145263"/>
    <w:rsid w:val="001455AD"/>
    <w:rsid w:val="001457D4"/>
    <w:rsid w:val="00145C5C"/>
    <w:rsid w:val="00146035"/>
    <w:rsid w:val="001465D6"/>
    <w:rsid w:val="00147544"/>
    <w:rsid w:val="001476DB"/>
    <w:rsid w:val="00147780"/>
    <w:rsid w:val="00147F20"/>
    <w:rsid w:val="0015001D"/>
    <w:rsid w:val="00150051"/>
    <w:rsid w:val="001501A5"/>
    <w:rsid w:val="001505F6"/>
    <w:rsid w:val="00150DAF"/>
    <w:rsid w:val="00150E75"/>
    <w:rsid w:val="001513C5"/>
    <w:rsid w:val="0015151A"/>
    <w:rsid w:val="00151719"/>
    <w:rsid w:val="00151C64"/>
    <w:rsid w:val="0015210E"/>
    <w:rsid w:val="0015237F"/>
    <w:rsid w:val="001523B4"/>
    <w:rsid w:val="0015279D"/>
    <w:rsid w:val="0015354D"/>
    <w:rsid w:val="00153B55"/>
    <w:rsid w:val="00153C64"/>
    <w:rsid w:val="00154241"/>
    <w:rsid w:val="001547C5"/>
    <w:rsid w:val="001549F8"/>
    <w:rsid w:val="00154B76"/>
    <w:rsid w:val="0015601C"/>
    <w:rsid w:val="001561EE"/>
    <w:rsid w:val="001565F6"/>
    <w:rsid w:val="00156AD8"/>
    <w:rsid w:val="00156B21"/>
    <w:rsid w:val="00156BED"/>
    <w:rsid w:val="001572B8"/>
    <w:rsid w:val="00157399"/>
    <w:rsid w:val="001574A5"/>
    <w:rsid w:val="001574F3"/>
    <w:rsid w:val="00157A83"/>
    <w:rsid w:val="00157D1D"/>
    <w:rsid w:val="00157E3D"/>
    <w:rsid w:val="0016052B"/>
    <w:rsid w:val="00160541"/>
    <w:rsid w:val="001606D1"/>
    <w:rsid w:val="00160738"/>
    <w:rsid w:val="00160838"/>
    <w:rsid w:val="001609C5"/>
    <w:rsid w:val="00160B7E"/>
    <w:rsid w:val="00160CBC"/>
    <w:rsid w:val="00161A0D"/>
    <w:rsid w:val="001621E7"/>
    <w:rsid w:val="00162A03"/>
    <w:rsid w:val="00163116"/>
    <w:rsid w:val="0016325D"/>
    <w:rsid w:val="00163743"/>
    <w:rsid w:val="00163B83"/>
    <w:rsid w:val="00163D0F"/>
    <w:rsid w:val="00163D9A"/>
    <w:rsid w:val="001644CA"/>
    <w:rsid w:val="001647DE"/>
    <w:rsid w:val="0016518D"/>
    <w:rsid w:val="00165745"/>
    <w:rsid w:val="00165CED"/>
    <w:rsid w:val="001660FA"/>
    <w:rsid w:val="00166446"/>
    <w:rsid w:val="00166AF3"/>
    <w:rsid w:val="00166B49"/>
    <w:rsid w:val="00166CA9"/>
    <w:rsid w:val="00166EF5"/>
    <w:rsid w:val="00167021"/>
    <w:rsid w:val="0016707E"/>
    <w:rsid w:val="001671EA"/>
    <w:rsid w:val="00167B38"/>
    <w:rsid w:val="00167C33"/>
    <w:rsid w:val="00167D47"/>
    <w:rsid w:val="00167ED1"/>
    <w:rsid w:val="00170204"/>
    <w:rsid w:val="00170297"/>
    <w:rsid w:val="00170307"/>
    <w:rsid w:val="0017094D"/>
    <w:rsid w:val="0017116D"/>
    <w:rsid w:val="0017133F"/>
    <w:rsid w:val="001715AD"/>
    <w:rsid w:val="00171B63"/>
    <w:rsid w:val="00171B73"/>
    <w:rsid w:val="00171F94"/>
    <w:rsid w:val="00171F96"/>
    <w:rsid w:val="001729CE"/>
    <w:rsid w:val="00172C01"/>
    <w:rsid w:val="00172E9C"/>
    <w:rsid w:val="00173101"/>
    <w:rsid w:val="001733FD"/>
    <w:rsid w:val="0017340A"/>
    <w:rsid w:val="00173489"/>
    <w:rsid w:val="0017397A"/>
    <w:rsid w:val="00173EFC"/>
    <w:rsid w:val="00174323"/>
    <w:rsid w:val="0017454B"/>
    <w:rsid w:val="00174E6C"/>
    <w:rsid w:val="00175A60"/>
    <w:rsid w:val="00175F93"/>
    <w:rsid w:val="001772B6"/>
    <w:rsid w:val="00177D30"/>
    <w:rsid w:val="001806BC"/>
    <w:rsid w:val="00180EC8"/>
    <w:rsid w:val="00180F72"/>
    <w:rsid w:val="00181982"/>
    <w:rsid w:val="001819D4"/>
    <w:rsid w:val="00181B37"/>
    <w:rsid w:val="00181CAC"/>
    <w:rsid w:val="0018201B"/>
    <w:rsid w:val="0018205D"/>
    <w:rsid w:val="001820D3"/>
    <w:rsid w:val="001823C0"/>
    <w:rsid w:val="00182610"/>
    <w:rsid w:val="00182C66"/>
    <w:rsid w:val="00182CF6"/>
    <w:rsid w:val="00182E7B"/>
    <w:rsid w:val="001832C6"/>
    <w:rsid w:val="001835EE"/>
    <w:rsid w:val="00183E85"/>
    <w:rsid w:val="001841F7"/>
    <w:rsid w:val="00184236"/>
    <w:rsid w:val="001848BD"/>
    <w:rsid w:val="00184A4B"/>
    <w:rsid w:val="001853D2"/>
    <w:rsid w:val="001857DC"/>
    <w:rsid w:val="00185AE5"/>
    <w:rsid w:val="00185F7F"/>
    <w:rsid w:val="00186176"/>
    <w:rsid w:val="0018647A"/>
    <w:rsid w:val="00186BD7"/>
    <w:rsid w:val="001872F3"/>
    <w:rsid w:val="00187AE3"/>
    <w:rsid w:val="00187D68"/>
    <w:rsid w:val="00187DF5"/>
    <w:rsid w:val="001919DB"/>
    <w:rsid w:val="00191CF2"/>
    <w:rsid w:val="001924A7"/>
    <w:rsid w:val="00192683"/>
    <w:rsid w:val="00192CCF"/>
    <w:rsid w:val="001932E3"/>
    <w:rsid w:val="00193E70"/>
    <w:rsid w:val="00193EC4"/>
    <w:rsid w:val="00193F78"/>
    <w:rsid w:val="00194613"/>
    <w:rsid w:val="00194847"/>
    <w:rsid w:val="00194AC1"/>
    <w:rsid w:val="00194D19"/>
    <w:rsid w:val="00194E53"/>
    <w:rsid w:val="0019552E"/>
    <w:rsid w:val="001959C2"/>
    <w:rsid w:val="00195D94"/>
    <w:rsid w:val="001960FC"/>
    <w:rsid w:val="001960FF"/>
    <w:rsid w:val="00196984"/>
    <w:rsid w:val="00196C9C"/>
    <w:rsid w:val="00196E30"/>
    <w:rsid w:val="00197038"/>
    <w:rsid w:val="001A0024"/>
    <w:rsid w:val="001A07A0"/>
    <w:rsid w:val="001A089C"/>
    <w:rsid w:val="001A0DB4"/>
    <w:rsid w:val="001A0FE2"/>
    <w:rsid w:val="001A117C"/>
    <w:rsid w:val="001A12D2"/>
    <w:rsid w:val="001A1427"/>
    <w:rsid w:val="001A156C"/>
    <w:rsid w:val="001A1829"/>
    <w:rsid w:val="001A192E"/>
    <w:rsid w:val="001A1F94"/>
    <w:rsid w:val="001A24B3"/>
    <w:rsid w:val="001A2612"/>
    <w:rsid w:val="001A2DAD"/>
    <w:rsid w:val="001A2ED1"/>
    <w:rsid w:val="001A339F"/>
    <w:rsid w:val="001A348F"/>
    <w:rsid w:val="001A42B8"/>
    <w:rsid w:val="001A44A4"/>
    <w:rsid w:val="001A4519"/>
    <w:rsid w:val="001A476E"/>
    <w:rsid w:val="001A4795"/>
    <w:rsid w:val="001A4917"/>
    <w:rsid w:val="001A4F5B"/>
    <w:rsid w:val="001A53BD"/>
    <w:rsid w:val="001A55E4"/>
    <w:rsid w:val="001A55EB"/>
    <w:rsid w:val="001A5B0C"/>
    <w:rsid w:val="001A5B1E"/>
    <w:rsid w:val="001A6175"/>
    <w:rsid w:val="001A65ED"/>
    <w:rsid w:val="001A6A20"/>
    <w:rsid w:val="001A6A94"/>
    <w:rsid w:val="001A6ED8"/>
    <w:rsid w:val="001A6F2D"/>
    <w:rsid w:val="001A7277"/>
    <w:rsid w:val="001A78C4"/>
    <w:rsid w:val="001A78E4"/>
    <w:rsid w:val="001A7CDD"/>
    <w:rsid w:val="001B028F"/>
    <w:rsid w:val="001B0B0C"/>
    <w:rsid w:val="001B0C01"/>
    <w:rsid w:val="001B18DC"/>
    <w:rsid w:val="001B1952"/>
    <w:rsid w:val="001B1AF5"/>
    <w:rsid w:val="001B1ECC"/>
    <w:rsid w:val="001B235B"/>
    <w:rsid w:val="001B24AF"/>
    <w:rsid w:val="001B3135"/>
    <w:rsid w:val="001B3A38"/>
    <w:rsid w:val="001B3B93"/>
    <w:rsid w:val="001B3F89"/>
    <w:rsid w:val="001B4152"/>
    <w:rsid w:val="001B429C"/>
    <w:rsid w:val="001B43C6"/>
    <w:rsid w:val="001B48C6"/>
    <w:rsid w:val="001B4DD5"/>
    <w:rsid w:val="001B52E4"/>
    <w:rsid w:val="001B5763"/>
    <w:rsid w:val="001B578F"/>
    <w:rsid w:val="001B58F2"/>
    <w:rsid w:val="001B5987"/>
    <w:rsid w:val="001B5C85"/>
    <w:rsid w:val="001B5EC0"/>
    <w:rsid w:val="001B61E5"/>
    <w:rsid w:val="001B6592"/>
    <w:rsid w:val="001B6DB7"/>
    <w:rsid w:val="001B6F1C"/>
    <w:rsid w:val="001B7386"/>
    <w:rsid w:val="001C0233"/>
    <w:rsid w:val="001C0890"/>
    <w:rsid w:val="001C09D6"/>
    <w:rsid w:val="001C0A00"/>
    <w:rsid w:val="001C0A1A"/>
    <w:rsid w:val="001C0CBE"/>
    <w:rsid w:val="001C0EA2"/>
    <w:rsid w:val="001C1488"/>
    <w:rsid w:val="001C1611"/>
    <w:rsid w:val="001C1CE7"/>
    <w:rsid w:val="001C20C0"/>
    <w:rsid w:val="001C23D5"/>
    <w:rsid w:val="001C24E9"/>
    <w:rsid w:val="001C33E2"/>
    <w:rsid w:val="001C4098"/>
    <w:rsid w:val="001C4214"/>
    <w:rsid w:val="001C4502"/>
    <w:rsid w:val="001C4615"/>
    <w:rsid w:val="001C46F0"/>
    <w:rsid w:val="001C483C"/>
    <w:rsid w:val="001C4904"/>
    <w:rsid w:val="001C4F31"/>
    <w:rsid w:val="001C5337"/>
    <w:rsid w:val="001C5427"/>
    <w:rsid w:val="001C555E"/>
    <w:rsid w:val="001C5B6B"/>
    <w:rsid w:val="001C6896"/>
    <w:rsid w:val="001C6B1C"/>
    <w:rsid w:val="001C74CD"/>
    <w:rsid w:val="001C75D7"/>
    <w:rsid w:val="001C7A9A"/>
    <w:rsid w:val="001D059A"/>
    <w:rsid w:val="001D0EBD"/>
    <w:rsid w:val="001D0EBF"/>
    <w:rsid w:val="001D1291"/>
    <w:rsid w:val="001D146E"/>
    <w:rsid w:val="001D224A"/>
    <w:rsid w:val="001D2751"/>
    <w:rsid w:val="001D2C2D"/>
    <w:rsid w:val="001D30E3"/>
    <w:rsid w:val="001D3497"/>
    <w:rsid w:val="001D38E7"/>
    <w:rsid w:val="001D3A65"/>
    <w:rsid w:val="001D3B43"/>
    <w:rsid w:val="001D4062"/>
    <w:rsid w:val="001D41DD"/>
    <w:rsid w:val="001D4497"/>
    <w:rsid w:val="001D4539"/>
    <w:rsid w:val="001D461E"/>
    <w:rsid w:val="001D49CE"/>
    <w:rsid w:val="001D4F2F"/>
    <w:rsid w:val="001D507E"/>
    <w:rsid w:val="001D57B6"/>
    <w:rsid w:val="001D6292"/>
    <w:rsid w:val="001D7195"/>
    <w:rsid w:val="001D73E5"/>
    <w:rsid w:val="001D76D0"/>
    <w:rsid w:val="001D77D3"/>
    <w:rsid w:val="001E0246"/>
    <w:rsid w:val="001E09EC"/>
    <w:rsid w:val="001E0FEF"/>
    <w:rsid w:val="001E1902"/>
    <w:rsid w:val="001E20CE"/>
    <w:rsid w:val="001E246F"/>
    <w:rsid w:val="001E2551"/>
    <w:rsid w:val="001E26B3"/>
    <w:rsid w:val="001E2AE4"/>
    <w:rsid w:val="001E2BF4"/>
    <w:rsid w:val="001E3222"/>
    <w:rsid w:val="001E344E"/>
    <w:rsid w:val="001E44DB"/>
    <w:rsid w:val="001E44EB"/>
    <w:rsid w:val="001E45B0"/>
    <w:rsid w:val="001E46BF"/>
    <w:rsid w:val="001E4A37"/>
    <w:rsid w:val="001E4B15"/>
    <w:rsid w:val="001E4FAB"/>
    <w:rsid w:val="001E5293"/>
    <w:rsid w:val="001E57EC"/>
    <w:rsid w:val="001E61BB"/>
    <w:rsid w:val="001E628B"/>
    <w:rsid w:val="001E6C8B"/>
    <w:rsid w:val="001E6DAE"/>
    <w:rsid w:val="001E74D2"/>
    <w:rsid w:val="001E7588"/>
    <w:rsid w:val="001E7DF4"/>
    <w:rsid w:val="001F1891"/>
    <w:rsid w:val="001F1892"/>
    <w:rsid w:val="001F194F"/>
    <w:rsid w:val="001F19D7"/>
    <w:rsid w:val="001F1DB7"/>
    <w:rsid w:val="001F1EE1"/>
    <w:rsid w:val="001F1EE8"/>
    <w:rsid w:val="001F230D"/>
    <w:rsid w:val="001F25F7"/>
    <w:rsid w:val="001F2BB2"/>
    <w:rsid w:val="001F36AA"/>
    <w:rsid w:val="001F3745"/>
    <w:rsid w:val="001F3A3B"/>
    <w:rsid w:val="001F42E3"/>
    <w:rsid w:val="001F4314"/>
    <w:rsid w:val="001F48F7"/>
    <w:rsid w:val="001F496D"/>
    <w:rsid w:val="001F4D6F"/>
    <w:rsid w:val="001F4EFA"/>
    <w:rsid w:val="001F530C"/>
    <w:rsid w:val="001F5604"/>
    <w:rsid w:val="001F56D3"/>
    <w:rsid w:val="001F56E5"/>
    <w:rsid w:val="001F5B20"/>
    <w:rsid w:val="001F5CDE"/>
    <w:rsid w:val="001F60A1"/>
    <w:rsid w:val="00200091"/>
    <w:rsid w:val="0020019A"/>
    <w:rsid w:val="00200920"/>
    <w:rsid w:val="00200D8A"/>
    <w:rsid w:val="002016CD"/>
    <w:rsid w:val="00201829"/>
    <w:rsid w:val="002018C0"/>
    <w:rsid w:val="00201CE4"/>
    <w:rsid w:val="00202805"/>
    <w:rsid w:val="002030F0"/>
    <w:rsid w:val="0020317B"/>
    <w:rsid w:val="00203807"/>
    <w:rsid w:val="002038A1"/>
    <w:rsid w:val="00203EF9"/>
    <w:rsid w:val="00203F3C"/>
    <w:rsid w:val="002043DA"/>
    <w:rsid w:val="0020475C"/>
    <w:rsid w:val="00204B8B"/>
    <w:rsid w:val="002053DB"/>
    <w:rsid w:val="002058A1"/>
    <w:rsid w:val="0020598B"/>
    <w:rsid w:val="00205CEB"/>
    <w:rsid w:val="00206033"/>
    <w:rsid w:val="0020619C"/>
    <w:rsid w:val="00206B21"/>
    <w:rsid w:val="00207ADD"/>
    <w:rsid w:val="00207D2B"/>
    <w:rsid w:val="002117C4"/>
    <w:rsid w:val="00211950"/>
    <w:rsid w:val="002120CD"/>
    <w:rsid w:val="002124F6"/>
    <w:rsid w:val="0021276D"/>
    <w:rsid w:val="00212E4C"/>
    <w:rsid w:val="00212F14"/>
    <w:rsid w:val="0021313F"/>
    <w:rsid w:val="0021347C"/>
    <w:rsid w:val="00213622"/>
    <w:rsid w:val="00213627"/>
    <w:rsid w:val="002138BE"/>
    <w:rsid w:val="00213DBB"/>
    <w:rsid w:val="002141BA"/>
    <w:rsid w:val="002154C2"/>
    <w:rsid w:val="00215956"/>
    <w:rsid w:val="00215DA8"/>
    <w:rsid w:val="00216EDC"/>
    <w:rsid w:val="002170D8"/>
    <w:rsid w:val="00217A6D"/>
    <w:rsid w:val="00217B6A"/>
    <w:rsid w:val="00217CAC"/>
    <w:rsid w:val="00217FA6"/>
    <w:rsid w:val="002204B9"/>
    <w:rsid w:val="0022095D"/>
    <w:rsid w:val="002211CA"/>
    <w:rsid w:val="00221FCC"/>
    <w:rsid w:val="0022226A"/>
    <w:rsid w:val="00222A2E"/>
    <w:rsid w:val="00223DF6"/>
    <w:rsid w:val="00224163"/>
    <w:rsid w:val="0022468A"/>
    <w:rsid w:val="00224ADF"/>
    <w:rsid w:val="00224AFC"/>
    <w:rsid w:val="00224B8F"/>
    <w:rsid w:val="00224E47"/>
    <w:rsid w:val="0022516C"/>
    <w:rsid w:val="00225EDF"/>
    <w:rsid w:val="0022628B"/>
    <w:rsid w:val="00226386"/>
    <w:rsid w:val="002265B2"/>
    <w:rsid w:val="00226762"/>
    <w:rsid w:val="00226C09"/>
    <w:rsid w:val="00226C25"/>
    <w:rsid w:val="00226DF6"/>
    <w:rsid w:val="0022742C"/>
    <w:rsid w:val="002277A8"/>
    <w:rsid w:val="00227829"/>
    <w:rsid w:val="00227924"/>
    <w:rsid w:val="00227AD4"/>
    <w:rsid w:val="00227B8F"/>
    <w:rsid w:val="00227EA3"/>
    <w:rsid w:val="0023015A"/>
    <w:rsid w:val="00230310"/>
    <w:rsid w:val="00230708"/>
    <w:rsid w:val="002307D3"/>
    <w:rsid w:val="00230B91"/>
    <w:rsid w:val="00231085"/>
    <w:rsid w:val="0023163B"/>
    <w:rsid w:val="00231E11"/>
    <w:rsid w:val="0023277F"/>
    <w:rsid w:val="00232D78"/>
    <w:rsid w:val="00232EA2"/>
    <w:rsid w:val="00233412"/>
    <w:rsid w:val="00233501"/>
    <w:rsid w:val="00233D2D"/>
    <w:rsid w:val="00234327"/>
    <w:rsid w:val="002350BB"/>
    <w:rsid w:val="00235234"/>
    <w:rsid w:val="0023529D"/>
    <w:rsid w:val="00235DB7"/>
    <w:rsid w:val="00235E9E"/>
    <w:rsid w:val="002360B9"/>
    <w:rsid w:val="002362AE"/>
    <w:rsid w:val="002364E9"/>
    <w:rsid w:val="00236E71"/>
    <w:rsid w:val="00237CCA"/>
    <w:rsid w:val="00237EB3"/>
    <w:rsid w:val="00237F24"/>
    <w:rsid w:val="00237F4F"/>
    <w:rsid w:val="002401FC"/>
    <w:rsid w:val="002405D1"/>
    <w:rsid w:val="0024096B"/>
    <w:rsid w:val="002409AF"/>
    <w:rsid w:val="00240F46"/>
    <w:rsid w:val="002412A8"/>
    <w:rsid w:val="00241387"/>
    <w:rsid w:val="00241581"/>
    <w:rsid w:val="002418E3"/>
    <w:rsid w:val="00241B65"/>
    <w:rsid w:val="00242041"/>
    <w:rsid w:val="00242591"/>
    <w:rsid w:val="00242D67"/>
    <w:rsid w:val="00242E37"/>
    <w:rsid w:val="00242F67"/>
    <w:rsid w:val="00243341"/>
    <w:rsid w:val="00244074"/>
    <w:rsid w:val="00244337"/>
    <w:rsid w:val="00244A70"/>
    <w:rsid w:val="00244D45"/>
    <w:rsid w:val="002450DE"/>
    <w:rsid w:val="00245159"/>
    <w:rsid w:val="00245461"/>
    <w:rsid w:val="00245896"/>
    <w:rsid w:val="00245ABB"/>
    <w:rsid w:val="00246267"/>
    <w:rsid w:val="00246372"/>
    <w:rsid w:val="00246C17"/>
    <w:rsid w:val="0024755D"/>
    <w:rsid w:val="00247AC4"/>
    <w:rsid w:val="00247E23"/>
    <w:rsid w:val="00247EE9"/>
    <w:rsid w:val="00250041"/>
    <w:rsid w:val="002505D6"/>
    <w:rsid w:val="0025154F"/>
    <w:rsid w:val="002517A0"/>
    <w:rsid w:val="00251A46"/>
    <w:rsid w:val="0025221B"/>
    <w:rsid w:val="002526BB"/>
    <w:rsid w:val="00252DEF"/>
    <w:rsid w:val="00253F5D"/>
    <w:rsid w:val="0025408D"/>
    <w:rsid w:val="002542B0"/>
    <w:rsid w:val="00254532"/>
    <w:rsid w:val="0025468E"/>
    <w:rsid w:val="00255397"/>
    <w:rsid w:val="0025583B"/>
    <w:rsid w:val="00255B1E"/>
    <w:rsid w:val="002560D9"/>
    <w:rsid w:val="0025625F"/>
    <w:rsid w:val="002563C7"/>
    <w:rsid w:val="0025651C"/>
    <w:rsid w:val="0025674E"/>
    <w:rsid w:val="002568C2"/>
    <w:rsid w:val="0025692C"/>
    <w:rsid w:val="00256E86"/>
    <w:rsid w:val="00257460"/>
    <w:rsid w:val="00257587"/>
    <w:rsid w:val="00257836"/>
    <w:rsid w:val="0026032E"/>
    <w:rsid w:val="0026094F"/>
    <w:rsid w:val="0026121B"/>
    <w:rsid w:val="00261B2C"/>
    <w:rsid w:val="0026226B"/>
    <w:rsid w:val="0026233E"/>
    <w:rsid w:val="00262ABB"/>
    <w:rsid w:val="00262BD0"/>
    <w:rsid w:val="00262D15"/>
    <w:rsid w:val="00262E2B"/>
    <w:rsid w:val="00262EA0"/>
    <w:rsid w:val="00263B24"/>
    <w:rsid w:val="00263C22"/>
    <w:rsid w:val="002645A0"/>
    <w:rsid w:val="002651FC"/>
    <w:rsid w:val="00265245"/>
    <w:rsid w:val="0026570A"/>
    <w:rsid w:val="00265814"/>
    <w:rsid w:val="00265A4D"/>
    <w:rsid w:val="00265E50"/>
    <w:rsid w:val="002663CB"/>
    <w:rsid w:val="002665CF"/>
    <w:rsid w:val="002668A1"/>
    <w:rsid w:val="00266967"/>
    <w:rsid w:val="00266A02"/>
    <w:rsid w:val="00266B20"/>
    <w:rsid w:val="00267AE7"/>
    <w:rsid w:val="00267EFA"/>
    <w:rsid w:val="00267F0E"/>
    <w:rsid w:val="002701F9"/>
    <w:rsid w:val="002707F4"/>
    <w:rsid w:val="002709F7"/>
    <w:rsid w:val="00270F5F"/>
    <w:rsid w:val="00271274"/>
    <w:rsid w:val="002717D7"/>
    <w:rsid w:val="00271B51"/>
    <w:rsid w:val="00271D0C"/>
    <w:rsid w:val="00271EC5"/>
    <w:rsid w:val="00272449"/>
    <w:rsid w:val="00272B34"/>
    <w:rsid w:val="00273240"/>
    <w:rsid w:val="002734A3"/>
    <w:rsid w:val="00273510"/>
    <w:rsid w:val="002735AE"/>
    <w:rsid w:val="00273F04"/>
    <w:rsid w:val="002746BA"/>
    <w:rsid w:val="0027478A"/>
    <w:rsid w:val="0027484F"/>
    <w:rsid w:val="00274DF9"/>
    <w:rsid w:val="00274FD4"/>
    <w:rsid w:val="002750D8"/>
    <w:rsid w:val="00275196"/>
    <w:rsid w:val="002753EF"/>
    <w:rsid w:val="00275BA2"/>
    <w:rsid w:val="0027635F"/>
    <w:rsid w:val="0027651D"/>
    <w:rsid w:val="00276878"/>
    <w:rsid w:val="00276EC4"/>
    <w:rsid w:val="00277440"/>
    <w:rsid w:val="0027751F"/>
    <w:rsid w:val="00277826"/>
    <w:rsid w:val="00277CFA"/>
    <w:rsid w:val="00277F25"/>
    <w:rsid w:val="00277F33"/>
    <w:rsid w:val="002800B2"/>
    <w:rsid w:val="002802D8"/>
    <w:rsid w:val="00280A61"/>
    <w:rsid w:val="00280D7F"/>
    <w:rsid w:val="00280F02"/>
    <w:rsid w:val="0028157E"/>
    <w:rsid w:val="00281A37"/>
    <w:rsid w:val="00281C06"/>
    <w:rsid w:val="00281D23"/>
    <w:rsid w:val="00282650"/>
    <w:rsid w:val="002826D0"/>
    <w:rsid w:val="00282E28"/>
    <w:rsid w:val="0028362C"/>
    <w:rsid w:val="00283E25"/>
    <w:rsid w:val="0028410A"/>
    <w:rsid w:val="0028432F"/>
    <w:rsid w:val="00284607"/>
    <w:rsid w:val="002848EC"/>
    <w:rsid w:val="00284FDC"/>
    <w:rsid w:val="00285619"/>
    <w:rsid w:val="00286103"/>
    <w:rsid w:val="00286239"/>
    <w:rsid w:val="00286797"/>
    <w:rsid w:val="002867C1"/>
    <w:rsid w:val="00286E67"/>
    <w:rsid w:val="00287316"/>
    <w:rsid w:val="0028753F"/>
    <w:rsid w:val="00287DF0"/>
    <w:rsid w:val="002903DB"/>
    <w:rsid w:val="0029069A"/>
    <w:rsid w:val="00290BC8"/>
    <w:rsid w:val="00290DDD"/>
    <w:rsid w:val="002914D1"/>
    <w:rsid w:val="002915A7"/>
    <w:rsid w:val="00291B57"/>
    <w:rsid w:val="00291BE4"/>
    <w:rsid w:val="00291D03"/>
    <w:rsid w:val="002922EB"/>
    <w:rsid w:val="002923CB"/>
    <w:rsid w:val="0029260C"/>
    <w:rsid w:val="002937A1"/>
    <w:rsid w:val="00293F6D"/>
    <w:rsid w:val="00294103"/>
    <w:rsid w:val="00294AA1"/>
    <w:rsid w:val="0029509F"/>
    <w:rsid w:val="002951EC"/>
    <w:rsid w:val="002952EA"/>
    <w:rsid w:val="002952F4"/>
    <w:rsid w:val="002955C1"/>
    <w:rsid w:val="002956CC"/>
    <w:rsid w:val="00295992"/>
    <w:rsid w:val="00295A3F"/>
    <w:rsid w:val="00296631"/>
    <w:rsid w:val="0029676F"/>
    <w:rsid w:val="00296D47"/>
    <w:rsid w:val="00297624"/>
    <w:rsid w:val="002A009F"/>
    <w:rsid w:val="002A1879"/>
    <w:rsid w:val="002A18C3"/>
    <w:rsid w:val="002A1B61"/>
    <w:rsid w:val="002A2200"/>
    <w:rsid w:val="002A238D"/>
    <w:rsid w:val="002A26EC"/>
    <w:rsid w:val="002A2A41"/>
    <w:rsid w:val="002A3492"/>
    <w:rsid w:val="002A3509"/>
    <w:rsid w:val="002A375A"/>
    <w:rsid w:val="002A382A"/>
    <w:rsid w:val="002A4B88"/>
    <w:rsid w:val="002A590E"/>
    <w:rsid w:val="002A60FB"/>
    <w:rsid w:val="002A6468"/>
    <w:rsid w:val="002A667C"/>
    <w:rsid w:val="002A6896"/>
    <w:rsid w:val="002A6A12"/>
    <w:rsid w:val="002A6E95"/>
    <w:rsid w:val="002A6F30"/>
    <w:rsid w:val="002A74A3"/>
    <w:rsid w:val="002A790A"/>
    <w:rsid w:val="002A7953"/>
    <w:rsid w:val="002A79A9"/>
    <w:rsid w:val="002A7B06"/>
    <w:rsid w:val="002B05F4"/>
    <w:rsid w:val="002B066C"/>
    <w:rsid w:val="002B0A40"/>
    <w:rsid w:val="002B0C64"/>
    <w:rsid w:val="002B17EE"/>
    <w:rsid w:val="002B1BE1"/>
    <w:rsid w:val="002B1E55"/>
    <w:rsid w:val="002B1FB6"/>
    <w:rsid w:val="002B20BF"/>
    <w:rsid w:val="002B2436"/>
    <w:rsid w:val="002B282A"/>
    <w:rsid w:val="002B2D00"/>
    <w:rsid w:val="002B33E7"/>
    <w:rsid w:val="002B3AD2"/>
    <w:rsid w:val="002B3B78"/>
    <w:rsid w:val="002B4016"/>
    <w:rsid w:val="002B4393"/>
    <w:rsid w:val="002B4D04"/>
    <w:rsid w:val="002B4F12"/>
    <w:rsid w:val="002B5388"/>
    <w:rsid w:val="002B539E"/>
    <w:rsid w:val="002B5D6E"/>
    <w:rsid w:val="002B61C5"/>
    <w:rsid w:val="002B663C"/>
    <w:rsid w:val="002B693B"/>
    <w:rsid w:val="002B6A62"/>
    <w:rsid w:val="002B6B0A"/>
    <w:rsid w:val="002B6E77"/>
    <w:rsid w:val="002B77F0"/>
    <w:rsid w:val="002B7909"/>
    <w:rsid w:val="002B7CF8"/>
    <w:rsid w:val="002B7F3F"/>
    <w:rsid w:val="002C00A7"/>
    <w:rsid w:val="002C0CDB"/>
    <w:rsid w:val="002C1136"/>
    <w:rsid w:val="002C130D"/>
    <w:rsid w:val="002C174D"/>
    <w:rsid w:val="002C185D"/>
    <w:rsid w:val="002C18F2"/>
    <w:rsid w:val="002C2C0B"/>
    <w:rsid w:val="002C3098"/>
    <w:rsid w:val="002C3242"/>
    <w:rsid w:val="002C337D"/>
    <w:rsid w:val="002C348E"/>
    <w:rsid w:val="002C35DF"/>
    <w:rsid w:val="002C365A"/>
    <w:rsid w:val="002C3717"/>
    <w:rsid w:val="002C3DFB"/>
    <w:rsid w:val="002C452C"/>
    <w:rsid w:val="002C4EA7"/>
    <w:rsid w:val="002C54F4"/>
    <w:rsid w:val="002C5701"/>
    <w:rsid w:val="002C5745"/>
    <w:rsid w:val="002C5FCF"/>
    <w:rsid w:val="002C60D6"/>
    <w:rsid w:val="002C64D4"/>
    <w:rsid w:val="002C6EA7"/>
    <w:rsid w:val="002C6F85"/>
    <w:rsid w:val="002C7659"/>
    <w:rsid w:val="002C76C3"/>
    <w:rsid w:val="002C7916"/>
    <w:rsid w:val="002D0CA3"/>
    <w:rsid w:val="002D1502"/>
    <w:rsid w:val="002D16F3"/>
    <w:rsid w:val="002D1FDA"/>
    <w:rsid w:val="002D2477"/>
    <w:rsid w:val="002D24FE"/>
    <w:rsid w:val="002D28D7"/>
    <w:rsid w:val="002D29D1"/>
    <w:rsid w:val="002D37A1"/>
    <w:rsid w:val="002D44F7"/>
    <w:rsid w:val="002D4516"/>
    <w:rsid w:val="002D4D5C"/>
    <w:rsid w:val="002D4E61"/>
    <w:rsid w:val="002D6761"/>
    <w:rsid w:val="002D6951"/>
    <w:rsid w:val="002D6C20"/>
    <w:rsid w:val="002D6D1B"/>
    <w:rsid w:val="002D7497"/>
    <w:rsid w:val="002E0504"/>
    <w:rsid w:val="002E07FD"/>
    <w:rsid w:val="002E0895"/>
    <w:rsid w:val="002E0922"/>
    <w:rsid w:val="002E0ABD"/>
    <w:rsid w:val="002E0ECE"/>
    <w:rsid w:val="002E23FB"/>
    <w:rsid w:val="002E2A24"/>
    <w:rsid w:val="002E2C1D"/>
    <w:rsid w:val="002E2E08"/>
    <w:rsid w:val="002E3704"/>
    <w:rsid w:val="002E38EE"/>
    <w:rsid w:val="002E3926"/>
    <w:rsid w:val="002E3ED8"/>
    <w:rsid w:val="002E3EFA"/>
    <w:rsid w:val="002E4897"/>
    <w:rsid w:val="002E5311"/>
    <w:rsid w:val="002E5331"/>
    <w:rsid w:val="002E554E"/>
    <w:rsid w:val="002E569D"/>
    <w:rsid w:val="002E57AA"/>
    <w:rsid w:val="002E592D"/>
    <w:rsid w:val="002E600C"/>
    <w:rsid w:val="002E6107"/>
    <w:rsid w:val="002E6128"/>
    <w:rsid w:val="002E6CEB"/>
    <w:rsid w:val="002E6D63"/>
    <w:rsid w:val="002E707E"/>
    <w:rsid w:val="002E72A1"/>
    <w:rsid w:val="002E7629"/>
    <w:rsid w:val="002E76B3"/>
    <w:rsid w:val="002E794F"/>
    <w:rsid w:val="002E7C60"/>
    <w:rsid w:val="002F049B"/>
    <w:rsid w:val="002F0B2B"/>
    <w:rsid w:val="002F0B53"/>
    <w:rsid w:val="002F0ECB"/>
    <w:rsid w:val="002F1060"/>
    <w:rsid w:val="002F10E1"/>
    <w:rsid w:val="002F1283"/>
    <w:rsid w:val="002F13EE"/>
    <w:rsid w:val="002F1E12"/>
    <w:rsid w:val="002F234B"/>
    <w:rsid w:val="002F269A"/>
    <w:rsid w:val="002F2B07"/>
    <w:rsid w:val="002F2BA3"/>
    <w:rsid w:val="002F3010"/>
    <w:rsid w:val="002F324A"/>
    <w:rsid w:val="002F35F5"/>
    <w:rsid w:val="002F377E"/>
    <w:rsid w:val="002F3788"/>
    <w:rsid w:val="002F3CE5"/>
    <w:rsid w:val="002F3E53"/>
    <w:rsid w:val="002F3EEC"/>
    <w:rsid w:val="002F4138"/>
    <w:rsid w:val="002F5868"/>
    <w:rsid w:val="002F5965"/>
    <w:rsid w:val="002F63E8"/>
    <w:rsid w:val="002F676B"/>
    <w:rsid w:val="002F6D3D"/>
    <w:rsid w:val="002F719D"/>
    <w:rsid w:val="002F741F"/>
    <w:rsid w:val="002F7A60"/>
    <w:rsid w:val="003003CA"/>
    <w:rsid w:val="00300444"/>
    <w:rsid w:val="003008CB"/>
    <w:rsid w:val="00300CB3"/>
    <w:rsid w:val="00300EA5"/>
    <w:rsid w:val="00301017"/>
    <w:rsid w:val="00301100"/>
    <w:rsid w:val="00301321"/>
    <w:rsid w:val="00301384"/>
    <w:rsid w:val="00301981"/>
    <w:rsid w:val="00301D7C"/>
    <w:rsid w:val="00301DB7"/>
    <w:rsid w:val="00302353"/>
    <w:rsid w:val="00302913"/>
    <w:rsid w:val="00302D6D"/>
    <w:rsid w:val="00303E2C"/>
    <w:rsid w:val="00304647"/>
    <w:rsid w:val="003046D8"/>
    <w:rsid w:val="0030476A"/>
    <w:rsid w:val="00304A5D"/>
    <w:rsid w:val="00304A8D"/>
    <w:rsid w:val="003050A1"/>
    <w:rsid w:val="00305539"/>
    <w:rsid w:val="00306192"/>
    <w:rsid w:val="0030658D"/>
    <w:rsid w:val="00306931"/>
    <w:rsid w:val="00306B2F"/>
    <w:rsid w:val="00306B82"/>
    <w:rsid w:val="00306C67"/>
    <w:rsid w:val="00306F3A"/>
    <w:rsid w:val="0030723A"/>
    <w:rsid w:val="00307515"/>
    <w:rsid w:val="00307742"/>
    <w:rsid w:val="00307896"/>
    <w:rsid w:val="00307ADE"/>
    <w:rsid w:val="00310D23"/>
    <w:rsid w:val="00310D77"/>
    <w:rsid w:val="00310F88"/>
    <w:rsid w:val="00311BAB"/>
    <w:rsid w:val="00311C47"/>
    <w:rsid w:val="003121AC"/>
    <w:rsid w:val="003129A9"/>
    <w:rsid w:val="003139D8"/>
    <w:rsid w:val="00313A7D"/>
    <w:rsid w:val="00313D9E"/>
    <w:rsid w:val="003144EB"/>
    <w:rsid w:val="00314A8F"/>
    <w:rsid w:val="00314BF0"/>
    <w:rsid w:val="00314E86"/>
    <w:rsid w:val="00315224"/>
    <w:rsid w:val="0031548E"/>
    <w:rsid w:val="00315A82"/>
    <w:rsid w:val="0031611A"/>
    <w:rsid w:val="0031621C"/>
    <w:rsid w:val="00316981"/>
    <w:rsid w:val="00316EB2"/>
    <w:rsid w:val="00317172"/>
    <w:rsid w:val="00317C69"/>
    <w:rsid w:val="00317E52"/>
    <w:rsid w:val="00317FE9"/>
    <w:rsid w:val="0032040D"/>
    <w:rsid w:val="00320AB9"/>
    <w:rsid w:val="0032162D"/>
    <w:rsid w:val="00321820"/>
    <w:rsid w:val="00321BE2"/>
    <w:rsid w:val="00321BEF"/>
    <w:rsid w:val="00322C24"/>
    <w:rsid w:val="00322C70"/>
    <w:rsid w:val="00323245"/>
    <w:rsid w:val="003233D0"/>
    <w:rsid w:val="003233F2"/>
    <w:rsid w:val="003239EC"/>
    <w:rsid w:val="00323F21"/>
    <w:rsid w:val="00324375"/>
    <w:rsid w:val="00324A6B"/>
    <w:rsid w:val="00324C42"/>
    <w:rsid w:val="00324F06"/>
    <w:rsid w:val="003254E0"/>
    <w:rsid w:val="00325BBC"/>
    <w:rsid w:val="00325C6F"/>
    <w:rsid w:val="0032602D"/>
    <w:rsid w:val="003260DB"/>
    <w:rsid w:val="00326176"/>
    <w:rsid w:val="003266AD"/>
    <w:rsid w:val="00326AEE"/>
    <w:rsid w:val="003278F7"/>
    <w:rsid w:val="00327BD9"/>
    <w:rsid w:val="00327D40"/>
    <w:rsid w:val="00330030"/>
    <w:rsid w:val="00330586"/>
    <w:rsid w:val="0033063D"/>
    <w:rsid w:val="003307D3"/>
    <w:rsid w:val="00330BE6"/>
    <w:rsid w:val="00331923"/>
    <w:rsid w:val="00331FC4"/>
    <w:rsid w:val="0033202A"/>
    <w:rsid w:val="0033239C"/>
    <w:rsid w:val="003323D7"/>
    <w:rsid w:val="0033248B"/>
    <w:rsid w:val="003324E0"/>
    <w:rsid w:val="00332C6F"/>
    <w:rsid w:val="00332DB0"/>
    <w:rsid w:val="00332DD5"/>
    <w:rsid w:val="00333A8A"/>
    <w:rsid w:val="00333C8D"/>
    <w:rsid w:val="003340F4"/>
    <w:rsid w:val="0033424C"/>
    <w:rsid w:val="003343E9"/>
    <w:rsid w:val="00334B14"/>
    <w:rsid w:val="00334D1E"/>
    <w:rsid w:val="00335560"/>
    <w:rsid w:val="003355E7"/>
    <w:rsid w:val="00335FD8"/>
    <w:rsid w:val="0033600A"/>
    <w:rsid w:val="00336146"/>
    <w:rsid w:val="0033677F"/>
    <w:rsid w:val="003369DA"/>
    <w:rsid w:val="00336B79"/>
    <w:rsid w:val="00336D69"/>
    <w:rsid w:val="0033776D"/>
    <w:rsid w:val="003379A7"/>
    <w:rsid w:val="00337A51"/>
    <w:rsid w:val="00337F02"/>
    <w:rsid w:val="00337F12"/>
    <w:rsid w:val="00340020"/>
    <w:rsid w:val="003412F3"/>
    <w:rsid w:val="0034153B"/>
    <w:rsid w:val="00341667"/>
    <w:rsid w:val="00341A46"/>
    <w:rsid w:val="00341D02"/>
    <w:rsid w:val="00341D06"/>
    <w:rsid w:val="00341FFD"/>
    <w:rsid w:val="0034202A"/>
    <w:rsid w:val="00342087"/>
    <w:rsid w:val="00342EDA"/>
    <w:rsid w:val="00342FAB"/>
    <w:rsid w:val="003436E1"/>
    <w:rsid w:val="00343E24"/>
    <w:rsid w:val="00343F2D"/>
    <w:rsid w:val="00344745"/>
    <w:rsid w:val="00344750"/>
    <w:rsid w:val="00344DAB"/>
    <w:rsid w:val="00344F8B"/>
    <w:rsid w:val="00345386"/>
    <w:rsid w:val="003456F0"/>
    <w:rsid w:val="003458E0"/>
    <w:rsid w:val="00345A23"/>
    <w:rsid w:val="00345CB2"/>
    <w:rsid w:val="00346025"/>
    <w:rsid w:val="003463B7"/>
    <w:rsid w:val="00346D32"/>
    <w:rsid w:val="00346D3F"/>
    <w:rsid w:val="00346E2F"/>
    <w:rsid w:val="003471ED"/>
    <w:rsid w:val="003473A1"/>
    <w:rsid w:val="00350585"/>
    <w:rsid w:val="0035190D"/>
    <w:rsid w:val="00351AED"/>
    <w:rsid w:val="00351B16"/>
    <w:rsid w:val="003520B7"/>
    <w:rsid w:val="0035283F"/>
    <w:rsid w:val="00352C64"/>
    <w:rsid w:val="00352CEA"/>
    <w:rsid w:val="003530E4"/>
    <w:rsid w:val="0035319C"/>
    <w:rsid w:val="0035325F"/>
    <w:rsid w:val="0035361B"/>
    <w:rsid w:val="00354061"/>
    <w:rsid w:val="003541C1"/>
    <w:rsid w:val="00354200"/>
    <w:rsid w:val="0035425E"/>
    <w:rsid w:val="0035428C"/>
    <w:rsid w:val="003543E4"/>
    <w:rsid w:val="003546A6"/>
    <w:rsid w:val="00354894"/>
    <w:rsid w:val="00354E35"/>
    <w:rsid w:val="00354F19"/>
    <w:rsid w:val="00354F64"/>
    <w:rsid w:val="00355719"/>
    <w:rsid w:val="003557AC"/>
    <w:rsid w:val="00355E9A"/>
    <w:rsid w:val="003562E2"/>
    <w:rsid w:val="003565C7"/>
    <w:rsid w:val="0035666D"/>
    <w:rsid w:val="0035691B"/>
    <w:rsid w:val="00356B08"/>
    <w:rsid w:val="00356BFC"/>
    <w:rsid w:val="003570E0"/>
    <w:rsid w:val="003572F5"/>
    <w:rsid w:val="003575A8"/>
    <w:rsid w:val="00357C58"/>
    <w:rsid w:val="00360033"/>
    <w:rsid w:val="003602AD"/>
    <w:rsid w:val="0036078D"/>
    <w:rsid w:val="00360911"/>
    <w:rsid w:val="0036155D"/>
    <w:rsid w:val="00361F00"/>
    <w:rsid w:val="00362374"/>
    <w:rsid w:val="00362BF9"/>
    <w:rsid w:val="00362FA0"/>
    <w:rsid w:val="00363CE4"/>
    <w:rsid w:val="00363E34"/>
    <w:rsid w:val="00364064"/>
    <w:rsid w:val="00364274"/>
    <w:rsid w:val="00364FC2"/>
    <w:rsid w:val="00364FDB"/>
    <w:rsid w:val="003656FE"/>
    <w:rsid w:val="0036602A"/>
    <w:rsid w:val="003664DA"/>
    <w:rsid w:val="003664DD"/>
    <w:rsid w:val="00366CEB"/>
    <w:rsid w:val="00366D21"/>
    <w:rsid w:val="00367483"/>
    <w:rsid w:val="00367840"/>
    <w:rsid w:val="00367BE5"/>
    <w:rsid w:val="00367CF6"/>
    <w:rsid w:val="003704A6"/>
    <w:rsid w:val="00370722"/>
    <w:rsid w:val="00370851"/>
    <w:rsid w:val="00370C16"/>
    <w:rsid w:val="003712A9"/>
    <w:rsid w:val="0037166E"/>
    <w:rsid w:val="00371ED9"/>
    <w:rsid w:val="003730E0"/>
    <w:rsid w:val="003735C9"/>
    <w:rsid w:val="003742A1"/>
    <w:rsid w:val="003750E3"/>
    <w:rsid w:val="00375260"/>
    <w:rsid w:val="003752A8"/>
    <w:rsid w:val="0037534C"/>
    <w:rsid w:val="0037566A"/>
    <w:rsid w:val="00375B76"/>
    <w:rsid w:val="00375D7D"/>
    <w:rsid w:val="00376453"/>
    <w:rsid w:val="003766D8"/>
    <w:rsid w:val="00376841"/>
    <w:rsid w:val="00376973"/>
    <w:rsid w:val="00376A84"/>
    <w:rsid w:val="00377600"/>
    <w:rsid w:val="003776F3"/>
    <w:rsid w:val="00377A1E"/>
    <w:rsid w:val="00377DBD"/>
    <w:rsid w:val="00377E2E"/>
    <w:rsid w:val="00377F1B"/>
    <w:rsid w:val="00377FD4"/>
    <w:rsid w:val="003802D6"/>
    <w:rsid w:val="0038032A"/>
    <w:rsid w:val="00380B28"/>
    <w:rsid w:val="00380CD6"/>
    <w:rsid w:val="00380E69"/>
    <w:rsid w:val="003813F6"/>
    <w:rsid w:val="003814AE"/>
    <w:rsid w:val="003814F6"/>
    <w:rsid w:val="00381603"/>
    <w:rsid w:val="0038174B"/>
    <w:rsid w:val="00381758"/>
    <w:rsid w:val="003821DD"/>
    <w:rsid w:val="003822E2"/>
    <w:rsid w:val="00382447"/>
    <w:rsid w:val="00382BA0"/>
    <w:rsid w:val="00382D5B"/>
    <w:rsid w:val="00382E84"/>
    <w:rsid w:val="0038307C"/>
    <w:rsid w:val="0038328B"/>
    <w:rsid w:val="00384017"/>
    <w:rsid w:val="003840D5"/>
    <w:rsid w:val="00384725"/>
    <w:rsid w:val="003847B0"/>
    <w:rsid w:val="003852E1"/>
    <w:rsid w:val="00385DEE"/>
    <w:rsid w:val="00385EA5"/>
    <w:rsid w:val="00386178"/>
    <w:rsid w:val="0038621F"/>
    <w:rsid w:val="00386312"/>
    <w:rsid w:val="003863DA"/>
    <w:rsid w:val="00386493"/>
    <w:rsid w:val="00386540"/>
    <w:rsid w:val="0038677E"/>
    <w:rsid w:val="00386E36"/>
    <w:rsid w:val="0039009E"/>
    <w:rsid w:val="003905E0"/>
    <w:rsid w:val="00390E8B"/>
    <w:rsid w:val="003916E8"/>
    <w:rsid w:val="00391CF3"/>
    <w:rsid w:val="00391E5F"/>
    <w:rsid w:val="00392903"/>
    <w:rsid w:val="00392BFB"/>
    <w:rsid w:val="003930DC"/>
    <w:rsid w:val="003932EB"/>
    <w:rsid w:val="00393A2C"/>
    <w:rsid w:val="003945F5"/>
    <w:rsid w:val="00395210"/>
    <w:rsid w:val="00395683"/>
    <w:rsid w:val="003957EA"/>
    <w:rsid w:val="00395953"/>
    <w:rsid w:val="003968EC"/>
    <w:rsid w:val="0039738C"/>
    <w:rsid w:val="00397B66"/>
    <w:rsid w:val="00397E24"/>
    <w:rsid w:val="00397ECF"/>
    <w:rsid w:val="003A0262"/>
    <w:rsid w:val="003A0558"/>
    <w:rsid w:val="003A0B7D"/>
    <w:rsid w:val="003A0D73"/>
    <w:rsid w:val="003A0EAB"/>
    <w:rsid w:val="003A1117"/>
    <w:rsid w:val="003A1A74"/>
    <w:rsid w:val="003A3584"/>
    <w:rsid w:val="003A36EF"/>
    <w:rsid w:val="003A42B9"/>
    <w:rsid w:val="003A44AC"/>
    <w:rsid w:val="003A4763"/>
    <w:rsid w:val="003A54CC"/>
    <w:rsid w:val="003A5751"/>
    <w:rsid w:val="003A593E"/>
    <w:rsid w:val="003A694E"/>
    <w:rsid w:val="003A698F"/>
    <w:rsid w:val="003A6F1D"/>
    <w:rsid w:val="003A7A85"/>
    <w:rsid w:val="003A7EA8"/>
    <w:rsid w:val="003B021B"/>
    <w:rsid w:val="003B03C3"/>
    <w:rsid w:val="003B0B46"/>
    <w:rsid w:val="003B0CD0"/>
    <w:rsid w:val="003B1C46"/>
    <w:rsid w:val="003B296C"/>
    <w:rsid w:val="003B2C86"/>
    <w:rsid w:val="003B35F9"/>
    <w:rsid w:val="003B40EE"/>
    <w:rsid w:val="003B42C1"/>
    <w:rsid w:val="003B467F"/>
    <w:rsid w:val="003B48CB"/>
    <w:rsid w:val="003B4EE5"/>
    <w:rsid w:val="003B4F6D"/>
    <w:rsid w:val="003B53F0"/>
    <w:rsid w:val="003B5B91"/>
    <w:rsid w:val="003B5D5E"/>
    <w:rsid w:val="003B5EAA"/>
    <w:rsid w:val="003B5EAC"/>
    <w:rsid w:val="003B6C48"/>
    <w:rsid w:val="003B6D09"/>
    <w:rsid w:val="003B6F5E"/>
    <w:rsid w:val="003B6FB8"/>
    <w:rsid w:val="003B7044"/>
    <w:rsid w:val="003B70B6"/>
    <w:rsid w:val="003B7634"/>
    <w:rsid w:val="003B7E11"/>
    <w:rsid w:val="003B7ED0"/>
    <w:rsid w:val="003C00CD"/>
    <w:rsid w:val="003C0873"/>
    <w:rsid w:val="003C092A"/>
    <w:rsid w:val="003C0975"/>
    <w:rsid w:val="003C0ED5"/>
    <w:rsid w:val="003C0F7C"/>
    <w:rsid w:val="003C145C"/>
    <w:rsid w:val="003C1615"/>
    <w:rsid w:val="003C1973"/>
    <w:rsid w:val="003C1DDB"/>
    <w:rsid w:val="003C22E8"/>
    <w:rsid w:val="003C31D2"/>
    <w:rsid w:val="003C33A7"/>
    <w:rsid w:val="003C371D"/>
    <w:rsid w:val="003C3C1F"/>
    <w:rsid w:val="003C4730"/>
    <w:rsid w:val="003C4BD8"/>
    <w:rsid w:val="003C4C35"/>
    <w:rsid w:val="003C4DFC"/>
    <w:rsid w:val="003C4F03"/>
    <w:rsid w:val="003C4F12"/>
    <w:rsid w:val="003C5273"/>
    <w:rsid w:val="003C5675"/>
    <w:rsid w:val="003C57C6"/>
    <w:rsid w:val="003C5C06"/>
    <w:rsid w:val="003C6290"/>
    <w:rsid w:val="003C629B"/>
    <w:rsid w:val="003C6973"/>
    <w:rsid w:val="003C6A8D"/>
    <w:rsid w:val="003C760C"/>
    <w:rsid w:val="003C77E8"/>
    <w:rsid w:val="003C789F"/>
    <w:rsid w:val="003C7CA7"/>
    <w:rsid w:val="003D04DD"/>
    <w:rsid w:val="003D0B22"/>
    <w:rsid w:val="003D1636"/>
    <w:rsid w:val="003D16E2"/>
    <w:rsid w:val="003D1C78"/>
    <w:rsid w:val="003D1DC4"/>
    <w:rsid w:val="003D21DA"/>
    <w:rsid w:val="003D2222"/>
    <w:rsid w:val="003D241C"/>
    <w:rsid w:val="003D2485"/>
    <w:rsid w:val="003D259C"/>
    <w:rsid w:val="003D330F"/>
    <w:rsid w:val="003D3317"/>
    <w:rsid w:val="003D37D4"/>
    <w:rsid w:val="003D3866"/>
    <w:rsid w:val="003D3935"/>
    <w:rsid w:val="003D3B2A"/>
    <w:rsid w:val="003D3B53"/>
    <w:rsid w:val="003D3CF9"/>
    <w:rsid w:val="003D3DFE"/>
    <w:rsid w:val="003D3E6C"/>
    <w:rsid w:val="003D4129"/>
    <w:rsid w:val="003D4978"/>
    <w:rsid w:val="003D4984"/>
    <w:rsid w:val="003D49EC"/>
    <w:rsid w:val="003D4C99"/>
    <w:rsid w:val="003D4DBB"/>
    <w:rsid w:val="003D528A"/>
    <w:rsid w:val="003D5472"/>
    <w:rsid w:val="003D5F08"/>
    <w:rsid w:val="003D6439"/>
    <w:rsid w:val="003D684C"/>
    <w:rsid w:val="003D6CF8"/>
    <w:rsid w:val="003D7240"/>
    <w:rsid w:val="003D76C0"/>
    <w:rsid w:val="003D7F92"/>
    <w:rsid w:val="003E01D0"/>
    <w:rsid w:val="003E02F4"/>
    <w:rsid w:val="003E0593"/>
    <w:rsid w:val="003E0607"/>
    <w:rsid w:val="003E102A"/>
    <w:rsid w:val="003E1931"/>
    <w:rsid w:val="003E1B65"/>
    <w:rsid w:val="003E1C6E"/>
    <w:rsid w:val="003E1EB5"/>
    <w:rsid w:val="003E2B9D"/>
    <w:rsid w:val="003E2BBB"/>
    <w:rsid w:val="003E2BE7"/>
    <w:rsid w:val="003E2C30"/>
    <w:rsid w:val="003E2CFB"/>
    <w:rsid w:val="003E3446"/>
    <w:rsid w:val="003E3726"/>
    <w:rsid w:val="003E39F2"/>
    <w:rsid w:val="003E42DE"/>
    <w:rsid w:val="003E55E2"/>
    <w:rsid w:val="003E5B43"/>
    <w:rsid w:val="003E5CF5"/>
    <w:rsid w:val="003E6343"/>
    <w:rsid w:val="003E6E74"/>
    <w:rsid w:val="003E7073"/>
    <w:rsid w:val="003E715F"/>
    <w:rsid w:val="003E72EA"/>
    <w:rsid w:val="003E761D"/>
    <w:rsid w:val="003E7698"/>
    <w:rsid w:val="003E7AB3"/>
    <w:rsid w:val="003E7FEF"/>
    <w:rsid w:val="003F012A"/>
    <w:rsid w:val="003F0359"/>
    <w:rsid w:val="003F0C42"/>
    <w:rsid w:val="003F1813"/>
    <w:rsid w:val="003F183B"/>
    <w:rsid w:val="003F184B"/>
    <w:rsid w:val="003F25AB"/>
    <w:rsid w:val="003F2FCB"/>
    <w:rsid w:val="003F3238"/>
    <w:rsid w:val="003F332F"/>
    <w:rsid w:val="003F334B"/>
    <w:rsid w:val="003F3583"/>
    <w:rsid w:val="003F35E4"/>
    <w:rsid w:val="003F4970"/>
    <w:rsid w:val="003F5461"/>
    <w:rsid w:val="003F54E1"/>
    <w:rsid w:val="003F66EA"/>
    <w:rsid w:val="003F6D62"/>
    <w:rsid w:val="003F7249"/>
    <w:rsid w:val="003F7413"/>
    <w:rsid w:val="003F78F3"/>
    <w:rsid w:val="003F7B58"/>
    <w:rsid w:val="003F7BE3"/>
    <w:rsid w:val="003F7DAC"/>
    <w:rsid w:val="003F7DF9"/>
    <w:rsid w:val="004001BF"/>
    <w:rsid w:val="004006BB"/>
    <w:rsid w:val="00400986"/>
    <w:rsid w:val="00400C7D"/>
    <w:rsid w:val="004012DA"/>
    <w:rsid w:val="00401722"/>
    <w:rsid w:val="004029AC"/>
    <w:rsid w:val="00402BBD"/>
    <w:rsid w:val="00403220"/>
    <w:rsid w:val="004035F3"/>
    <w:rsid w:val="004038E1"/>
    <w:rsid w:val="00403EE3"/>
    <w:rsid w:val="00403EF4"/>
    <w:rsid w:val="00403FF2"/>
    <w:rsid w:val="0040402A"/>
    <w:rsid w:val="00404353"/>
    <w:rsid w:val="004050D1"/>
    <w:rsid w:val="004058EA"/>
    <w:rsid w:val="00405A12"/>
    <w:rsid w:val="00405DE3"/>
    <w:rsid w:val="00406100"/>
    <w:rsid w:val="0040654E"/>
    <w:rsid w:val="00407975"/>
    <w:rsid w:val="00407B03"/>
    <w:rsid w:val="0041053A"/>
    <w:rsid w:val="004107B7"/>
    <w:rsid w:val="00410BA8"/>
    <w:rsid w:val="00410D31"/>
    <w:rsid w:val="00411476"/>
    <w:rsid w:val="0041161D"/>
    <w:rsid w:val="00411D0B"/>
    <w:rsid w:val="00412879"/>
    <w:rsid w:val="00412B28"/>
    <w:rsid w:val="00412F93"/>
    <w:rsid w:val="00413CA7"/>
    <w:rsid w:val="00413CAD"/>
    <w:rsid w:val="00413CE0"/>
    <w:rsid w:val="00414371"/>
    <w:rsid w:val="00414485"/>
    <w:rsid w:val="0041559F"/>
    <w:rsid w:val="00415F7E"/>
    <w:rsid w:val="004160E5"/>
    <w:rsid w:val="0041623E"/>
    <w:rsid w:val="0041676C"/>
    <w:rsid w:val="00416B9D"/>
    <w:rsid w:val="004178E1"/>
    <w:rsid w:val="004179D2"/>
    <w:rsid w:val="00417BF5"/>
    <w:rsid w:val="00417D6A"/>
    <w:rsid w:val="00420150"/>
    <w:rsid w:val="0042095F"/>
    <w:rsid w:val="00420C79"/>
    <w:rsid w:val="00420DF8"/>
    <w:rsid w:val="0042159E"/>
    <w:rsid w:val="00421A22"/>
    <w:rsid w:val="00421D86"/>
    <w:rsid w:val="00421F13"/>
    <w:rsid w:val="00422093"/>
    <w:rsid w:val="004222D2"/>
    <w:rsid w:val="00422A4A"/>
    <w:rsid w:val="00422A9A"/>
    <w:rsid w:val="00422C6B"/>
    <w:rsid w:val="0042353F"/>
    <w:rsid w:val="00423A64"/>
    <w:rsid w:val="00423D0A"/>
    <w:rsid w:val="00424A8A"/>
    <w:rsid w:val="004252FB"/>
    <w:rsid w:val="00425808"/>
    <w:rsid w:val="0042588A"/>
    <w:rsid w:val="00425BF0"/>
    <w:rsid w:val="00425E25"/>
    <w:rsid w:val="00426107"/>
    <w:rsid w:val="00426184"/>
    <w:rsid w:val="0042687B"/>
    <w:rsid w:val="0042704A"/>
    <w:rsid w:val="004271C1"/>
    <w:rsid w:val="00427379"/>
    <w:rsid w:val="004274F6"/>
    <w:rsid w:val="0042753B"/>
    <w:rsid w:val="00427BE1"/>
    <w:rsid w:val="00427DA1"/>
    <w:rsid w:val="00430446"/>
    <w:rsid w:val="004304B1"/>
    <w:rsid w:val="0043194B"/>
    <w:rsid w:val="004320B3"/>
    <w:rsid w:val="00432243"/>
    <w:rsid w:val="00433A0F"/>
    <w:rsid w:val="00433CC3"/>
    <w:rsid w:val="004343D7"/>
    <w:rsid w:val="00434CAA"/>
    <w:rsid w:val="004350FE"/>
    <w:rsid w:val="004366EC"/>
    <w:rsid w:val="00437315"/>
    <w:rsid w:val="00437316"/>
    <w:rsid w:val="00437467"/>
    <w:rsid w:val="004374EC"/>
    <w:rsid w:val="0043751F"/>
    <w:rsid w:val="00437F49"/>
    <w:rsid w:val="00440295"/>
    <w:rsid w:val="00440306"/>
    <w:rsid w:val="00440962"/>
    <w:rsid w:val="00440A81"/>
    <w:rsid w:val="00440B06"/>
    <w:rsid w:val="00440DFB"/>
    <w:rsid w:val="00440E90"/>
    <w:rsid w:val="0044143E"/>
    <w:rsid w:val="004415C4"/>
    <w:rsid w:val="0044193D"/>
    <w:rsid w:val="00441F9B"/>
    <w:rsid w:val="00442CAB"/>
    <w:rsid w:val="00442ED6"/>
    <w:rsid w:val="004439DD"/>
    <w:rsid w:val="004440CA"/>
    <w:rsid w:val="004459BD"/>
    <w:rsid w:val="00445E55"/>
    <w:rsid w:val="00446033"/>
    <w:rsid w:val="004467EC"/>
    <w:rsid w:val="004469AE"/>
    <w:rsid w:val="00446D1A"/>
    <w:rsid w:val="0044716C"/>
    <w:rsid w:val="004473F2"/>
    <w:rsid w:val="00447555"/>
    <w:rsid w:val="0044784C"/>
    <w:rsid w:val="004500FD"/>
    <w:rsid w:val="00451EC5"/>
    <w:rsid w:val="00452100"/>
    <w:rsid w:val="00452325"/>
    <w:rsid w:val="0045239C"/>
    <w:rsid w:val="00452439"/>
    <w:rsid w:val="00452695"/>
    <w:rsid w:val="0045269B"/>
    <w:rsid w:val="00452DEF"/>
    <w:rsid w:val="00452F58"/>
    <w:rsid w:val="00453343"/>
    <w:rsid w:val="0045337C"/>
    <w:rsid w:val="00453684"/>
    <w:rsid w:val="00453DF7"/>
    <w:rsid w:val="004543BE"/>
    <w:rsid w:val="00454474"/>
    <w:rsid w:val="00454BB4"/>
    <w:rsid w:val="00454C78"/>
    <w:rsid w:val="00455159"/>
    <w:rsid w:val="00455385"/>
    <w:rsid w:val="00455C07"/>
    <w:rsid w:val="00455E12"/>
    <w:rsid w:val="00455FFA"/>
    <w:rsid w:val="004563A1"/>
    <w:rsid w:val="00456F36"/>
    <w:rsid w:val="00456F96"/>
    <w:rsid w:val="00457038"/>
    <w:rsid w:val="0045710D"/>
    <w:rsid w:val="0045797C"/>
    <w:rsid w:val="004579FF"/>
    <w:rsid w:val="00457FBA"/>
    <w:rsid w:val="00460430"/>
    <w:rsid w:val="00460868"/>
    <w:rsid w:val="00461699"/>
    <w:rsid w:val="00461884"/>
    <w:rsid w:val="004619F5"/>
    <w:rsid w:val="00461F71"/>
    <w:rsid w:val="00461FFA"/>
    <w:rsid w:val="0046244B"/>
    <w:rsid w:val="00462DEC"/>
    <w:rsid w:val="004630ED"/>
    <w:rsid w:val="004630F1"/>
    <w:rsid w:val="004639D1"/>
    <w:rsid w:val="00464163"/>
    <w:rsid w:val="00464310"/>
    <w:rsid w:val="004647C6"/>
    <w:rsid w:val="0046514D"/>
    <w:rsid w:val="004652E4"/>
    <w:rsid w:val="004654F8"/>
    <w:rsid w:val="00466335"/>
    <w:rsid w:val="004663C2"/>
    <w:rsid w:val="00466412"/>
    <w:rsid w:val="00466628"/>
    <w:rsid w:val="00466C77"/>
    <w:rsid w:val="00466D09"/>
    <w:rsid w:val="004700F0"/>
    <w:rsid w:val="00470504"/>
    <w:rsid w:val="004709BF"/>
    <w:rsid w:val="00471538"/>
    <w:rsid w:val="00471622"/>
    <w:rsid w:val="00471716"/>
    <w:rsid w:val="004725BB"/>
    <w:rsid w:val="00472917"/>
    <w:rsid w:val="00472F71"/>
    <w:rsid w:val="00473352"/>
    <w:rsid w:val="00473DDD"/>
    <w:rsid w:val="0047451A"/>
    <w:rsid w:val="004749D7"/>
    <w:rsid w:val="00474D9A"/>
    <w:rsid w:val="00474F61"/>
    <w:rsid w:val="00476106"/>
    <w:rsid w:val="0047657F"/>
    <w:rsid w:val="004768DE"/>
    <w:rsid w:val="00476DD6"/>
    <w:rsid w:val="00480216"/>
    <w:rsid w:val="0048039F"/>
    <w:rsid w:val="00480405"/>
    <w:rsid w:val="004807DB"/>
    <w:rsid w:val="00480A12"/>
    <w:rsid w:val="00481222"/>
    <w:rsid w:val="00481569"/>
    <w:rsid w:val="004819CA"/>
    <w:rsid w:val="00481A1F"/>
    <w:rsid w:val="0048316D"/>
    <w:rsid w:val="0048327B"/>
    <w:rsid w:val="004834C3"/>
    <w:rsid w:val="00483839"/>
    <w:rsid w:val="004839E3"/>
    <w:rsid w:val="00483DB3"/>
    <w:rsid w:val="00483E96"/>
    <w:rsid w:val="004841F8"/>
    <w:rsid w:val="0048433C"/>
    <w:rsid w:val="004845E8"/>
    <w:rsid w:val="0048474A"/>
    <w:rsid w:val="004847A0"/>
    <w:rsid w:val="00484F93"/>
    <w:rsid w:val="004855B9"/>
    <w:rsid w:val="00485BE2"/>
    <w:rsid w:val="00485C27"/>
    <w:rsid w:val="0048608B"/>
    <w:rsid w:val="00486226"/>
    <w:rsid w:val="0048649B"/>
    <w:rsid w:val="00486B1C"/>
    <w:rsid w:val="00486B6D"/>
    <w:rsid w:val="00487183"/>
    <w:rsid w:val="0048732F"/>
    <w:rsid w:val="004873F7"/>
    <w:rsid w:val="0048787C"/>
    <w:rsid w:val="00487E74"/>
    <w:rsid w:val="00490293"/>
    <w:rsid w:val="0049087B"/>
    <w:rsid w:val="00490913"/>
    <w:rsid w:val="004910E8"/>
    <w:rsid w:val="004914C8"/>
    <w:rsid w:val="00491704"/>
    <w:rsid w:val="004918E6"/>
    <w:rsid w:val="00491A0C"/>
    <w:rsid w:val="00492427"/>
    <w:rsid w:val="004924C9"/>
    <w:rsid w:val="00492781"/>
    <w:rsid w:val="00492B64"/>
    <w:rsid w:val="00493347"/>
    <w:rsid w:val="00493955"/>
    <w:rsid w:val="00493AA6"/>
    <w:rsid w:val="00493E89"/>
    <w:rsid w:val="00493EC2"/>
    <w:rsid w:val="00494755"/>
    <w:rsid w:val="004956B0"/>
    <w:rsid w:val="004956D2"/>
    <w:rsid w:val="00495798"/>
    <w:rsid w:val="00495A62"/>
    <w:rsid w:val="004961FF"/>
    <w:rsid w:val="004965AF"/>
    <w:rsid w:val="00496C37"/>
    <w:rsid w:val="00496F85"/>
    <w:rsid w:val="00496FB7"/>
    <w:rsid w:val="00497281"/>
    <w:rsid w:val="004975DC"/>
    <w:rsid w:val="00497707"/>
    <w:rsid w:val="004978C0"/>
    <w:rsid w:val="00497B61"/>
    <w:rsid w:val="004A0242"/>
    <w:rsid w:val="004A0664"/>
    <w:rsid w:val="004A0834"/>
    <w:rsid w:val="004A0E63"/>
    <w:rsid w:val="004A197A"/>
    <w:rsid w:val="004A1B0D"/>
    <w:rsid w:val="004A1C84"/>
    <w:rsid w:val="004A1D0D"/>
    <w:rsid w:val="004A1D85"/>
    <w:rsid w:val="004A25BD"/>
    <w:rsid w:val="004A27AA"/>
    <w:rsid w:val="004A2C31"/>
    <w:rsid w:val="004A30CF"/>
    <w:rsid w:val="004A32A5"/>
    <w:rsid w:val="004A3A4C"/>
    <w:rsid w:val="004A3AE7"/>
    <w:rsid w:val="004A3B03"/>
    <w:rsid w:val="004A429F"/>
    <w:rsid w:val="004A4368"/>
    <w:rsid w:val="004A46B6"/>
    <w:rsid w:val="004A4780"/>
    <w:rsid w:val="004A4AA6"/>
    <w:rsid w:val="004A5070"/>
    <w:rsid w:val="004A5140"/>
    <w:rsid w:val="004A5381"/>
    <w:rsid w:val="004A569A"/>
    <w:rsid w:val="004A5A8C"/>
    <w:rsid w:val="004A5C52"/>
    <w:rsid w:val="004A6013"/>
    <w:rsid w:val="004A639A"/>
    <w:rsid w:val="004A6678"/>
    <w:rsid w:val="004A66B7"/>
    <w:rsid w:val="004A7679"/>
    <w:rsid w:val="004B0218"/>
    <w:rsid w:val="004B0575"/>
    <w:rsid w:val="004B0AA8"/>
    <w:rsid w:val="004B14F1"/>
    <w:rsid w:val="004B1810"/>
    <w:rsid w:val="004B1D3C"/>
    <w:rsid w:val="004B1ED9"/>
    <w:rsid w:val="004B25A1"/>
    <w:rsid w:val="004B260B"/>
    <w:rsid w:val="004B2B19"/>
    <w:rsid w:val="004B2C2A"/>
    <w:rsid w:val="004B2D30"/>
    <w:rsid w:val="004B3132"/>
    <w:rsid w:val="004B32B6"/>
    <w:rsid w:val="004B376E"/>
    <w:rsid w:val="004B3983"/>
    <w:rsid w:val="004B3AFC"/>
    <w:rsid w:val="004B4170"/>
    <w:rsid w:val="004B421C"/>
    <w:rsid w:val="004B4933"/>
    <w:rsid w:val="004B4ADA"/>
    <w:rsid w:val="004B663C"/>
    <w:rsid w:val="004B71B8"/>
    <w:rsid w:val="004B740B"/>
    <w:rsid w:val="004B7480"/>
    <w:rsid w:val="004B77D3"/>
    <w:rsid w:val="004B78B0"/>
    <w:rsid w:val="004C0206"/>
    <w:rsid w:val="004C0B1E"/>
    <w:rsid w:val="004C0E3C"/>
    <w:rsid w:val="004C1A21"/>
    <w:rsid w:val="004C1AB0"/>
    <w:rsid w:val="004C1DE6"/>
    <w:rsid w:val="004C1E21"/>
    <w:rsid w:val="004C2294"/>
    <w:rsid w:val="004C2A70"/>
    <w:rsid w:val="004C329F"/>
    <w:rsid w:val="004C3424"/>
    <w:rsid w:val="004C34F4"/>
    <w:rsid w:val="004C3D31"/>
    <w:rsid w:val="004C40C2"/>
    <w:rsid w:val="004C48FE"/>
    <w:rsid w:val="004C4D41"/>
    <w:rsid w:val="004C55D3"/>
    <w:rsid w:val="004C5654"/>
    <w:rsid w:val="004C64CC"/>
    <w:rsid w:val="004C6A78"/>
    <w:rsid w:val="004C6CF4"/>
    <w:rsid w:val="004C6D65"/>
    <w:rsid w:val="004C74AC"/>
    <w:rsid w:val="004C78F5"/>
    <w:rsid w:val="004C7EB9"/>
    <w:rsid w:val="004D0161"/>
    <w:rsid w:val="004D018A"/>
    <w:rsid w:val="004D06F7"/>
    <w:rsid w:val="004D0A08"/>
    <w:rsid w:val="004D0A0C"/>
    <w:rsid w:val="004D10C9"/>
    <w:rsid w:val="004D1802"/>
    <w:rsid w:val="004D18C0"/>
    <w:rsid w:val="004D18EF"/>
    <w:rsid w:val="004D2B3E"/>
    <w:rsid w:val="004D35A9"/>
    <w:rsid w:val="004D3660"/>
    <w:rsid w:val="004D36C1"/>
    <w:rsid w:val="004D3788"/>
    <w:rsid w:val="004D393B"/>
    <w:rsid w:val="004D3CF2"/>
    <w:rsid w:val="004D3D4B"/>
    <w:rsid w:val="004D3FDA"/>
    <w:rsid w:val="004D451C"/>
    <w:rsid w:val="004D45E0"/>
    <w:rsid w:val="004D472B"/>
    <w:rsid w:val="004D4CB9"/>
    <w:rsid w:val="004D4F89"/>
    <w:rsid w:val="004D570A"/>
    <w:rsid w:val="004D5C39"/>
    <w:rsid w:val="004D5DA4"/>
    <w:rsid w:val="004D6199"/>
    <w:rsid w:val="004D63C7"/>
    <w:rsid w:val="004D6653"/>
    <w:rsid w:val="004D6857"/>
    <w:rsid w:val="004D68AF"/>
    <w:rsid w:val="004D68FD"/>
    <w:rsid w:val="004D6FFB"/>
    <w:rsid w:val="004D7382"/>
    <w:rsid w:val="004E0838"/>
    <w:rsid w:val="004E0A28"/>
    <w:rsid w:val="004E0C16"/>
    <w:rsid w:val="004E1227"/>
    <w:rsid w:val="004E1326"/>
    <w:rsid w:val="004E1DC9"/>
    <w:rsid w:val="004E26CF"/>
    <w:rsid w:val="004E3232"/>
    <w:rsid w:val="004E3691"/>
    <w:rsid w:val="004E3747"/>
    <w:rsid w:val="004E4016"/>
    <w:rsid w:val="004E4596"/>
    <w:rsid w:val="004E45B4"/>
    <w:rsid w:val="004E466F"/>
    <w:rsid w:val="004E490D"/>
    <w:rsid w:val="004E4995"/>
    <w:rsid w:val="004E53CD"/>
    <w:rsid w:val="004E57C8"/>
    <w:rsid w:val="004E58C3"/>
    <w:rsid w:val="004E5D40"/>
    <w:rsid w:val="004E5D45"/>
    <w:rsid w:val="004E5DBD"/>
    <w:rsid w:val="004E5FEE"/>
    <w:rsid w:val="004E6240"/>
    <w:rsid w:val="004E64E2"/>
    <w:rsid w:val="004E6691"/>
    <w:rsid w:val="004E6937"/>
    <w:rsid w:val="004E77DF"/>
    <w:rsid w:val="004E7989"/>
    <w:rsid w:val="004E7D5E"/>
    <w:rsid w:val="004E7EBC"/>
    <w:rsid w:val="004F06A9"/>
    <w:rsid w:val="004F0848"/>
    <w:rsid w:val="004F09B1"/>
    <w:rsid w:val="004F16BC"/>
    <w:rsid w:val="004F18A9"/>
    <w:rsid w:val="004F19B9"/>
    <w:rsid w:val="004F22BB"/>
    <w:rsid w:val="004F22C9"/>
    <w:rsid w:val="004F2614"/>
    <w:rsid w:val="004F2F0C"/>
    <w:rsid w:val="004F3395"/>
    <w:rsid w:val="004F3972"/>
    <w:rsid w:val="004F3D38"/>
    <w:rsid w:val="004F3DF8"/>
    <w:rsid w:val="004F44C3"/>
    <w:rsid w:val="004F4648"/>
    <w:rsid w:val="004F520D"/>
    <w:rsid w:val="004F55AB"/>
    <w:rsid w:val="004F5936"/>
    <w:rsid w:val="004F5A58"/>
    <w:rsid w:val="004F5A8B"/>
    <w:rsid w:val="004F5B77"/>
    <w:rsid w:val="004F6772"/>
    <w:rsid w:val="004F6807"/>
    <w:rsid w:val="004F744E"/>
    <w:rsid w:val="004F772A"/>
    <w:rsid w:val="004F7735"/>
    <w:rsid w:val="004F7EDD"/>
    <w:rsid w:val="00500559"/>
    <w:rsid w:val="00500629"/>
    <w:rsid w:val="005008CA"/>
    <w:rsid w:val="00500A39"/>
    <w:rsid w:val="00500AE5"/>
    <w:rsid w:val="00500FDA"/>
    <w:rsid w:val="005010E7"/>
    <w:rsid w:val="00501465"/>
    <w:rsid w:val="0050159B"/>
    <w:rsid w:val="00501638"/>
    <w:rsid w:val="005021BF"/>
    <w:rsid w:val="005023F8"/>
    <w:rsid w:val="0050279D"/>
    <w:rsid w:val="00503409"/>
    <w:rsid w:val="00504620"/>
    <w:rsid w:val="00504C66"/>
    <w:rsid w:val="00505864"/>
    <w:rsid w:val="005060E0"/>
    <w:rsid w:val="00506B59"/>
    <w:rsid w:val="00506D67"/>
    <w:rsid w:val="0050723A"/>
    <w:rsid w:val="00507683"/>
    <w:rsid w:val="00507989"/>
    <w:rsid w:val="00507B79"/>
    <w:rsid w:val="00507BA1"/>
    <w:rsid w:val="0051001D"/>
    <w:rsid w:val="00510333"/>
    <w:rsid w:val="00510988"/>
    <w:rsid w:val="005111E5"/>
    <w:rsid w:val="00511514"/>
    <w:rsid w:val="00511646"/>
    <w:rsid w:val="005119AD"/>
    <w:rsid w:val="00511A8A"/>
    <w:rsid w:val="00511C28"/>
    <w:rsid w:val="00511F37"/>
    <w:rsid w:val="00512B4D"/>
    <w:rsid w:val="00512E23"/>
    <w:rsid w:val="00513104"/>
    <w:rsid w:val="00513141"/>
    <w:rsid w:val="00513291"/>
    <w:rsid w:val="00513D0B"/>
    <w:rsid w:val="005145B9"/>
    <w:rsid w:val="0051482F"/>
    <w:rsid w:val="00514A57"/>
    <w:rsid w:val="00514A63"/>
    <w:rsid w:val="00514C64"/>
    <w:rsid w:val="00515C75"/>
    <w:rsid w:val="00515D4A"/>
    <w:rsid w:val="00515D89"/>
    <w:rsid w:val="00515F9D"/>
    <w:rsid w:val="00516220"/>
    <w:rsid w:val="005163D1"/>
    <w:rsid w:val="005163EB"/>
    <w:rsid w:val="005164B2"/>
    <w:rsid w:val="00516625"/>
    <w:rsid w:val="0051689E"/>
    <w:rsid w:val="005169D2"/>
    <w:rsid w:val="00516CE8"/>
    <w:rsid w:val="00517113"/>
    <w:rsid w:val="0051776F"/>
    <w:rsid w:val="00517CDC"/>
    <w:rsid w:val="00517EA2"/>
    <w:rsid w:val="00520563"/>
    <w:rsid w:val="005212B6"/>
    <w:rsid w:val="00521BB5"/>
    <w:rsid w:val="00521DCD"/>
    <w:rsid w:val="00522394"/>
    <w:rsid w:val="00522D74"/>
    <w:rsid w:val="0052304A"/>
    <w:rsid w:val="005232A2"/>
    <w:rsid w:val="005233C6"/>
    <w:rsid w:val="00523424"/>
    <w:rsid w:val="00523D83"/>
    <w:rsid w:val="00524691"/>
    <w:rsid w:val="00524EF6"/>
    <w:rsid w:val="00525373"/>
    <w:rsid w:val="00525784"/>
    <w:rsid w:val="0052589D"/>
    <w:rsid w:val="00525BD9"/>
    <w:rsid w:val="005264F8"/>
    <w:rsid w:val="00527308"/>
    <w:rsid w:val="00527833"/>
    <w:rsid w:val="00527C29"/>
    <w:rsid w:val="00527CE2"/>
    <w:rsid w:val="0053017B"/>
    <w:rsid w:val="0053049E"/>
    <w:rsid w:val="0053063A"/>
    <w:rsid w:val="00530661"/>
    <w:rsid w:val="00530D55"/>
    <w:rsid w:val="00530F05"/>
    <w:rsid w:val="005310F1"/>
    <w:rsid w:val="00531214"/>
    <w:rsid w:val="00531D2E"/>
    <w:rsid w:val="00531F9C"/>
    <w:rsid w:val="00532A29"/>
    <w:rsid w:val="00532A4B"/>
    <w:rsid w:val="0053304E"/>
    <w:rsid w:val="00533273"/>
    <w:rsid w:val="00533F93"/>
    <w:rsid w:val="005340CF"/>
    <w:rsid w:val="00534439"/>
    <w:rsid w:val="005345EE"/>
    <w:rsid w:val="00534F7C"/>
    <w:rsid w:val="0053531F"/>
    <w:rsid w:val="0053535C"/>
    <w:rsid w:val="0053597B"/>
    <w:rsid w:val="00535C76"/>
    <w:rsid w:val="0053690A"/>
    <w:rsid w:val="005373B7"/>
    <w:rsid w:val="00537B85"/>
    <w:rsid w:val="00540E00"/>
    <w:rsid w:val="0054145A"/>
    <w:rsid w:val="005417E3"/>
    <w:rsid w:val="00541BB0"/>
    <w:rsid w:val="00541E26"/>
    <w:rsid w:val="00541F1B"/>
    <w:rsid w:val="005426B5"/>
    <w:rsid w:val="00542AF6"/>
    <w:rsid w:val="00543699"/>
    <w:rsid w:val="00543BBD"/>
    <w:rsid w:val="005441AD"/>
    <w:rsid w:val="00544589"/>
    <w:rsid w:val="005448E4"/>
    <w:rsid w:val="00544A72"/>
    <w:rsid w:val="00544BFC"/>
    <w:rsid w:val="00544C6E"/>
    <w:rsid w:val="00544CC8"/>
    <w:rsid w:val="0054525E"/>
    <w:rsid w:val="005457A4"/>
    <w:rsid w:val="00546A6D"/>
    <w:rsid w:val="00546BA3"/>
    <w:rsid w:val="00546CAA"/>
    <w:rsid w:val="00546E7E"/>
    <w:rsid w:val="00546EA1"/>
    <w:rsid w:val="0054708B"/>
    <w:rsid w:val="005475D1"/>
    <w:rsid w:val="005479F9"/>
    <w:rsid w:val="00547F03"/>
    <w:rsid w:val="00550068"/>
    <w:rsid w:val="005506CC"/>
    <w:rsid w:val="0055092E"/>
    <w:rsid w:val="00550D39"/>
    <w:rsid w:val="00550EDF"/>
    <w:rsid w:val="0055100F"/>
    <w:rsid w:val="00551151"/>
    <w:rsid w:val="005511E5"/>
    <w:rsid w:val="0055148D"/>
    <w:rsid w:val="0055157E"/>
    <w:rsid w:val="00551BA8"/>
    <w:rsid w:val="00551EA7"/>
    <w:rsid w:val="005521AE"/>
    <w:rsid w:val="005521CC"/>
    <w:rsid w:val="00552581"/>
    <w:rsid w:val="005528CA"/>
    <w:rsid w:val="00552A59"/>
    <w:rsid w:val="0055323A"/>
    <w:rsid w:val="00553375"/>
    <w:rsid w:val="005533B7"/>
    <w:rsid w:val="00554747"/>
    <w:rsid w:val="005557E3"/>
    <w:rsid w:val="00555859"/>
    <w:rsid w:val="0055590C"/>
    <w:rsid w:val="00555BAB"/>
    <w:rsid w:val="00555F52"/>
    <w:rsid w:val="005561F5"/>
    <w:rsid w:val="00556499"/>
    <w:rsid w:val="00556ED7"/>
    <w:rsid w:val="005600E4"/>
    <w:rsid w:val="0056047C"/>
    <w:rsid w:val="00560F05"/>
    <w:rsid w:val="00561516"/>
    <w:rsid w:val="005615FF"/>
    <w:rsid w:val="005617C2"/>
    <w:rsid w:val="00561D4F"/>
    <w:rsid w:val="005620AD"/>
    <w:rsid w:val="00562239"/>
    <w:rsid w:val="00562330"/>
    <w:rsid w:val="00562403"/>
    <w:rsid w:val="005626E0"/>
    <w:rsid w:val="00562DFE"/>
    <w:rsid w:val="00563463"/>
    <w:rsid w:val="00563514"/>
    <w:rsid w:val="00563BBD"/>
    <w:rsid w:val="00565311"/>
    <w:rsid w:val="00565624"/>
    <w:rsid w:val="005658E7"/>
    <w:rsid w:val="005659A9"/>
    <w:rsid w:val="0056600F"/>
    <w:rsid w:val="00566690"/>
    <w:rsid w:val="00566879"/>
    <w:rsid w:val="005668A4"/>
    <w:rsid w:val="005668EF"/>
    <w:rsid w:val="00566B0B"/>
    <w:rsid w:val="00566D85"/>
    <w:rsid w:val="00566D9B"/>
    <w:rsid w:val="00566EAB"/>
    <w:rsid w:val="005672DD"/>
    <w:rsid w:val="00567354"/>
    <w:rsid w:val="005673E1"/>
    <w:rsid w:val="005675B0"/>
    <w:rsid w:val="00567FED"/>
    <w:rsid w:val="00570A57"/>
    <w:rsid w:val="00570C3B"/>
    <w:rsid w:val="00570F53"/>
    <w:rsid w:val="005711E1"/>
    <w:rsid w:val="0057173B"/>
    <w:rsid w:val="005719B9"/>
    <w:rsid w:val="00571E41"/>
    <w:rsid w:val="00571F78"/>
    <w:rsid w:val="005725D6"/>
    <w:rsid w:val="005728A4"/>
    <w:rsid w:val="00572C77"/>
    <w:rsid w:val="00573225"/>
    <w:rsid w:val="00573304"/>
    <w:rsid w:val="0057340A"/>
    <w:rsid w:val="0057391A"/>
    <w:rsid w:val="00573973"/>
    <w:rsid w:val="00573A98"/>
    <w:rsid w:val="00573E7F"/>
    <w:rsid w:val="00574009"/>
    <w:rsid w:val="00574026"/>
    <w:rsid w:val="00574C6F"/>
    <w:rsid w:val="00575523"/>
    <w:rsid w:val="005758A8"/>
    <w:rsid w:val="0057597A"/>
    <w:rsid w:val="00575A26"/>
    <w:rsid w:val="00575B81"/>
    <w:rsid w:val="00575B93"/>
    <w:rsid w:val="00575E03"/>
    <w:rsid w:val="0057620D"/>
    <w:rsid w:val="0057647B"/>
    <w:rsid w:val="00576AD8"/>
    <w:rsid w:val="00576D5E"/>
    <w:rsid w:val="00576E1A"/>
    <w:rsid w:val="00577830"/>
    <w:rsid w:val="00580011"/>
    <w:rsid w:val="0058226E"/>
    <w:rsid w:val="00582A3E"/>
    <w:rsid w:val="00582B0F"/>
    <w:rsid w:val="00582D64"/>
    <w:rsid w:val="00582D67"/>
    <w:rsid w:val="00583249"/>
    <w:rsid w:val="00583757"/>
    <w:rsid w:val="005839B7"/>
    <w:rsid w:val="00583FDA"/>
    <w:rsid w:val="005846AD"/>
    <w:rsid w:val="00584769"/>
    <w:rsid w:val="0058497D"/>
    <w:rsid w:val="00584B05"/>
    <w:rsid w:val="005851EA"/>
    <w:rsid w:val="0058530D"/>
    <w:rsid w:val="0058535E"/>
    <w:rsid w:val="00585C54"/>
    <w:rsid w:val="00586176"/>
    <w:rsid w:val="005867BE"/>
    <w:rsid w:val="00586FB2"/>
    <w:rsid w:val="00587823"/>
    <w:rsid w:val="00587F53"/>
    <w:rsid w:val="0059006C"/>
    <w:rsid w:val="0059058D"/>
    <w:rsid w:val="005908DE"/>
    <w:rsid w:val="0059097C"/>
    <w:rsid w:val="00590AE2"/>
    <w:rsid w:val="005910AA"/>
    <w:rsid w:val="00591599"/>
    <w:rsid w:val="00591800"/>
    <w:rsid w:val="00591CCC"/>
    <w:rsid w:val="00591E8A"/>
    <w:rsid w:val="005920FF"/>
    <w:rsid w:val="00592203"/>
    <w:rsid w:val="005932D8"/>
    <w:rsid w:val="0059349C"/>
    <w:rsid w:val="00593C4D"/>
    <w:rsid w:val="00593E69"/>
    <w:rsid w:val="00593FD8"/>
    <w:rsid w:val="00594116"/>
    <w:rsid w:val="00594404"/>
    <w:rsid w:val="00594910"/>
    <w:rsid w:val="00594A93"/>
    <w:rsid w:val="00594AF0"/>
    <w:rsid w:val="0059542C"/>
    <w:rsid w:val="005957D2"/>
    <w:rsid w:val="00595A80"/>
    <w:rsid w:val="00596711"/>
    <w:rsid w:val="00597A24"/>
    <w:rsid w:val="00597C11"/>
    <w:rsid w:val="00597C38"/>
    <w:rsid w:val="005A1253"/>
    <w:rsid w:val="005A19CF"/>
    <w:rsid w:val="005A1AAD"/>
    <w:rsid w:val="005A2D1A"/>
    <w:rsid w:val="005A2F6A"/>
    <w:rsid w:val="005A3227"/>
    <w:rsid w:val="005A3B87"/>
    <w:rsid w:val="005A3BBD"/>
    <w:rsid w:val="005A3C49"/>
    <w:rsid w:val="005A537C"/>
    <w:rsid w:val="005A5D05"/>
    <w:rsid w:val="005A69EB"/>
    <w:rsid w:val="005A71CA"/>
    <w:rsid w:val="005A7BC2"/>
    <w:rsid w:val="005A7D36"/>
    <w:rsid w:val="005B0119"/>
    <w:rsid w:val="005B0CD3"/>
    <w:rsid w:val="005B13C4"/>
    <w:rsid w:val="005B14F3"/>
    <w:rsid w:val="005B15EE"/>
    <w:rsid w:val="005B1869"/>
    <w:rsid w:val="005B22BD"/>
    <w:rsid w:val="005B24ED"/>
    <w:rsid w:val="005B2BBF"/>
    <w:rsid w:val="005B2BDE"/>
    <w:rsid w:val="005B2D42"/>
    <w:rsid w:val="005B2D7D"/>
    <w:rsid w:val="005B31A8"/>
    <w:rsid w:val="005B37B8"/>
    <w:rsid w:val="005B3F85"/>
    <w:rsid w:val="005B4C77"/>
    <w:rsid w:val="005B4CB6"/>
    <w:rsid w:val="005B505D"/>
    <w:rsid w:val="005B5602"/>
    <w:rsid w:val="005B68DC"/>
    <w:rsid w:val="005B6C44"/>
    <w:rsid w:val="005B6C6C"/>
    <w:rsid w:val="005B6D83"/>
    <w:rsid w:val="005B6F0B"/>
    <w:rsid w:val="005B7187"/>
    <w:rsid w:val="005B746A"/>
    <w:rsid w:val="005B7A7A"/>
    <w:rsid w:val="005B7C1E"/>
    <w:rsid w:val="005B7C7B"/>
    <w:rsid w:val="005C0B97"/>
    <w:rsid w:val="005C0CF2"/>
    <w:rsid w:val="005C1322"/>
    <w:rsid w:val="005C1849"/>
    <w:rsid w:val="005C1BD6"/>
    <w:rsid w:val="005C1FB1"/>
    <w:rsid w:val="005C2040"/>
    <w:rsid w:val="005C271D"/>
    <w:rsid w:val="005C2A68"/>
    <w:rsid w:val="005C2DD3"/>
    <w:rsid w:val="005C32C8"/>
    <w:rsid w:val="005C3317"/>
    <w:rsid w:val="005C3672"/>
    <w:rsid w:val="005C3BC3"/>
    <w:rsid w:val="005C3ECF"/>
    <w:rsid w:val="005C4707"/>
    <w:rsid w:val="005C4CF7"/>
    <w:rsid w:val="005C554A"/>
    <w:rsid w:val="005C5A58"/>
    <w:rsid w:val="005C5EEA"/>
    <w:rsid w:val="005C7029"/>
    <w:rsid w:val="005D0203"/>
    <w:rsid w:val="005D0264"/>
    <w:rsid w:val="005D0732"/>
    <w:rsid w:val="005D091C"/>
    <w:rsid w:val="005D0AA6"/>
    <w:rsid w:val="005D0D3A"/>
    <w:rsid w:val="005D0EA0"/>
    <w:rsid w:val="005D1430"/>
    <w:rsid w:val="005D17A8"/>
    <w:rsid w:val="005D1B14"/>
    <w:rsid w:val="005D1D37"/>
    <w:rsid w:val="005D1EF7"/>
    <w:rsid w:val="005D2392"/>
    <w:rsid w:val="005D26F8"/>
    <w:rsid w:val="005D345E"/>
    <w:rsid w:val="005D390A"/>
    <w:rsid w:val="005D406C"/>
    <w:rsid w:val="005D41EF"/>
    <w:rsid w:val="005D4402"/>
    <w:rsid w:val="005D478E"/>
    <w:rsid w:val="005D4AED"/>
    <w:rsid w:val="005D4C5F"/>
    <w:rsid w:val="005D5CEC"/>
    <w:rsid w:val="005D5E7B"/>
    <w:rsid w:val="005D63A3"/>
    <w:rsid w:val="005D6AE3"/>
    <w:rsid w:val="005D6CD8"/>
    <w:rsid w:val="005D6D11"/>
    <w:rsid w:val="005D7105"/>
    <w:rsid w:val="005D7427"/>
    <w:rsid w:val="005E05B0"/>
    <w:rsid w:val="005E067E"/>
    <w:rsid w:val="005E07D2"/>
    <w:rsid w:val="005E0D3F"/>
    <w:rsid w:val="005E1038"/>
    <w:rsid w:val="005E11F3"/>
    <w:rsid w:val="005E19CF"/>
    <w:rsid w:val="005E1D69"/>
    <w:rsid w:val="005E235E"/>
    <w:rsid w:val="005E2381"/>
    <w:rsid w:val="005E2693"/>
    <w:rsid w:val="005E289E"/>
    <w:rsid w:val="005E2B85"/>
    <w:rsid w:val="005E33D6"/>
    <w:rsid w:val="005E3D08"/>
    <w:rsid w:val="005E3ECD"/>
    <w:rsid w:val="005E43C8"/>
    <w:rsid w:val="005E46EF"/>
    <w:rsid w:val="005E47B3"/>
    <w:rsid w:val="005E4A43"/>
    <w:rsid w:val="005E5081"/>
    <w:rsid w:val="005E5102"/>
    <w:rsid w:val="005E548D"/>
    <w:rsid w:val="005E54F7"/>
    <w:rsid w:val="005E55EE"/>
    <w:rsid w:val="005E5EF9"/>
    <w:rsid w:val="005E6BF5"/>
    <w:rsid w:val="005E6BFF"/>
    <w:rsid w:val="005E6F11"/>
    <w:rsid w:val="005E70C4"/>
    <w:rsid w:val="005E7385"/>
    <w:rsid w:val="005E74B8"/>
    <w:rsid w:val="005E7571"/>
    <w:rsid w:val="005E7A8B"/>
    <w:rsid w:val="005F07D9"/>
    <w:rsid w:val="005F0957"/>
    <w:rsid w:val="005F0B4F"/>
    <w:rsid w:val="005F1334"/>
    <w:rsid w:val="005F13C3"/>
    <w:rsid w:val="005F1425"/>
    <w:rsid w:val="005F1493"/>
    <w:rsid w:val="005F14E7"/>
    <w:rsid w:val="005F1558"/>
    <w:rsid w:val="005F1A59"/>
    <w:rsid w:val="005F1B4E"/>
    <w:rsid w:val="005F3E5D"/>
    <w:rsid w:val="005F4404"/>
    <w:rsid w:val="005F44E8"/>
    <w:rsid w:val="005F48AF"/>
    <w:rsid w:val="005F4B93"/>
    <w:rsid w:val="005F4BD6"/>
    <w:rsid w:val="005F4F3C"/>
    <w:rsid w:val="005F5458"/>
    <w:rsid w:val="005F5479"/>
    <w:rsid w:val="005F5507"/>
    <w:rsid w:val="005F5830"/>
    <w:rsid w:val="005F5CDF"/>
    <w:rsid w:val="005F6232"/>
    <w:rsid w:val="005F6786"/>
    <w:rsid w:val="005F6D2A"/>
    <w:rsid w:val="005F6D8C"/>
    <w:rsid w:val="005F75C9"/>
    <w:rsid w:val="00600DC9"/>
    <w:rsid w:val="0060128A"/>
    <w:rsid w:val="0060134F"/>
    <w:rsid w:val="00601F52"/>
    <w:rsid w:val="00602158"/>
    <w:rsid w:val="00602CB6"/>
    <w:rsid w:val="0060398B"/>
    <w:rsid w:val="00603AB3"/>
    <w:rsid w:val="00603F34"/>
    <w:rsid w:val="006046B3"/>
    <w:rsid w:val="00604ED3"/>
    <w:rsid w:val="00605015"/>
    <w:rsid w:val="006052F6"/>
    <w:rsid w:val="00605399"/>
    <w:rsid w:val="00605F36"/>
    <w:rsid w:val="00606283"/>
    <w:rsid w:val="006066CF"/>
    <w:rsid w:val="006068DB"/>
    <w:rsid w:val="00606D23"/>
    <w:rsid w:val="00606DD7"/>
    <w:rsid w:val="00606F79"/>
    <w:rsid w:val="00610505"/>
    <w:rsid w:val="00610869"/>
    <w:rsid w:val="00610B35"/>
    <w:rsid w:val="00610F31"/>
    <w:rsid w:val="00610FE0"/>
    <w:rsid w:val="00611091"/>
    <w:rsid w:val="00611DCB"/>
    <w:rsid w:val="006120EA"/>
    <w:rsid w:val="00613061"/>
    <w:rsid w:val="006132CE"/>
    <w:rsid w:val="0061339D"/>
    <w:rsid w:val="00613C90"/>
    <w:rsid w:val="00613E66"/>
    <w:rsid w:val="006145B4"/>
    <w:rsid w:val="00614A1C"/>
    <w:rsid w:val="00614A4F"/>
    <w:rsid w:val="0061544E"/>
    <w:rsid w:val="00615C2D"/>
    <w:rsid w:val="006161AD"/>
    <w:rsid w:val="006163B1"/>
    <w:rsid w:val="00616485"/>
    <w:rsid w:val="0061687E"/>
    <w:rsid w:val="00616985"/>
    <w:rsid w:val="00616A1B"/>
    <w:rsid w:val="00617946"/>
    <w:rsid w:val="0061797E"/>
    <w:rsid w:val="00617F3B"/>
    <w:rsid w:val="006201F1"/>
    <w:rsid w:val="006203D4"/>
    <w:rsid w:val="00620B95"/>
    <w:rsid w:val="00621C33"/>
    <w:rsid w:val="00622016"/>
    <w:rsid w:val="00622078"/>
    <w:rsid w:val="00622149"/>
    <w:rsid w:val="006221D1"/>
    <w:rsid w:val="0062230F"/>
    <w:rsid w:val="006228E3"/>
    <w:rsid w:val="00622B01"/>
    <w:rsid w:val="00622D34"/>
    <w:rsid w:val="00622D8A"/>
    <w:rsid w:val="00622E34"/>
    <w:rsid w:val="00623867"/>
    <w:rsid w:val="00623893"/>
    <w:rsid w:val="00624059"/>
    <w:rsid w:val="0062506D"/>
    <w:rsid w:val="0062524B"/>
    <w:rsid w:val="006255FC"/>
    <w:rsid w:val="006265D7"/>
    <w:rsid w:val="00626AB6"/>
    <w:rsid w:val="0062700A"/>
    <w:rsid w:val="006273DD"/>
    <w:rsid w:val="00627536"/>
    <w:rsid w:val="00627C6E"/>
    <w:rsid w:val="00630230"/>
    <w:rsid w:val="0063069C"/>
    <w:rsid w:val="00630BCD"/>
    <w:rsid w:val="00630C80"/>
    <w:rsid w:val="0063122E"/>
    <w:rsid w:val="00631287"/>
    <w:rsid w:val="006323D4"/>
    <w:rsid w:val="006324F0"/>
    <w:rsid w:val="0063252C"/>
    <w:rsid w:val="00632A9D"/>
    <w:rsid w:val="00632FD1"/>
    <w:rsid w:val="0063497C"/>
    <w:rsid w:val="00635699"/>
    <w:rsid w:val="00635753"/>
    <w:rsid w:val="00635925"/>
    <w:rsid w:val="00636782"/>
    <w:rsid w:val="00637720"/>
    <w:rsid w:val="00637C2F"/>
    <w:rsid w:val="00637FBE"/>
    <w:rsid w:val="006400F1"/>
    <w:rsid w:val="00640601"/>
    <w:rsid w:val="00640F73"/>
    <w:rsid w:val="00641458"/>
    <w:rsid w:val="00641A5D"/>
    <w:rsid w:val="00641DA5"/>
    <w:rsid w:val="00641FEB"/>
    <w:rsid w:val="00641FF8"/>
    <w:rsid w:val="00642821"/>
    <w:rsid w:val="006428C9"/>
    <w:rsid w:val="00642E70"/>
    <w:rsid w:val="006435F7"/>
    <w:rsid w:val="0064467A"/>
    <w:rsid w:val="006446BD"/>
    <w:rsid w:val="00644FA0"/>
    <w:rsid w:val="00645975"/>
    <w:rsid w:val="006460FA"/>
    <w:rsid w:val="006464BF"/>
    <w:rsid w:val="00646BD8"/>
    <w:rsid w:val="00646C24"/>
    <w:rsid w:val="00646C94"/>
    <w:rsid w:val="00647313"/>
    <w:rsid w:val="006474A4"/>
    <w:rsid w:val="00647A09"/>
    <w:rsid w:val="00647A23"/>
    <w:rsid w:val="00647B9D"/>
    <w:rsid w:val="00647D3A"/>
    <w:rsid w:val="00650567"/>
    <w:rsid w:val="00650EE3"/>
    <w:rsid w:val="00650F50"/>
    <w:rsid w:val="006510F8"/>
    <w:rsid w:val="00651197"/>
    <w:rsid w:val="006514EB"/>
    <w:rsid w:val="00651554"/>
    <w:rsid w:val="00652942"/>
    <w:rsid w:val="00652A16"/>
    <w:rsid w:val="00652CC1"/>
    <w:rsid w:val="0065338E"/>
    <w:rsid w:val="0065380F"/>
    <w:rsid w:val="00653CA7"/>
    <w:rsid w:val="0065468E"/>
    <w:rsid w:val="00654B21"/>
    <w:rsid w:val="00655050"/>
    <w:rsid w:val="00655817"/>
    <w:rsid w:val="00655F05"/>
    <w:rsid w:val="0065628A"/>
    <w:rsid w:val="0065632E"/>
    <w:rsid w:val="0065633B"/>
    <w:rsid w:val="00656F38"/>
    <w:rsid w:val="00657338"/>
    <w:rsid w:val="00657C66"/>
    <w:rsid w:val="00657DB7"/>
    <w:rsid w:val="0066034E"/>
    <w:rsid w:val="0066093C"/>
    <w:rsid w:val="00660D8F"/>
    <w:rsid w:val="00661136"/>
    <w:rsid w:val="006614E0"/>
    <w:rsid w:val="00661644"/>
    <w:rsid w:val="006617E6"/>
    <w:rsid w:val="0066191D"/>
    <w:rsid w:val="006621C9"/>
    <w:rsid w:val="00662596"/>
    <w:rsid w:val="00662A35"/>
    <w:rsid w:val="00662BB6"/>
    <w:rsid w:val="0066356F"/>
    <w:rsid w:val="00663C0C"/>
    <w:rsid w:val="0066434F"/>
    <w:rsid w:val="0066437D"/>
    <w:rsid w:val="006649B8"/>
    <w:rsid w:val="00664AF3"/>
    <w:rsid w:val="0066527E"/>
    <w:rsid w:val="00665ABA"/>
    <w:rsid w:val="00666221"/>
    <w:rsid w:val="00667114"/>
    <w:rsid w:val="00667455"/>
    <w:rsid w:val="0066757D"/>
    <w:rsid w:val="0066774F"/>
    <w:rsid w:val="00667EDA"/>
    <w:rsid w:val="00667EEA"/>
    <w:rsid w:val="006710CA"/>
    <w:rsid w:val="00671982"/>
    <w:rsid w:val="00672635"/>
    <w:rsid w:val="0067277D"/>
    <w:rsid w:val="0067325D"/>
    <w:rsid w:val="00673628"/>
    <w:rsid w:val="00673BA9"/>
    <w:rsid w:val="00673D49"/>
    <w:rsid w:val="00674BFA"/>
    <w:rsid w:val="006754D3"/>
    <w:rsid w:val="006756F7"/>
    <w:rsid w:val="0067570D"/>
    <w:rsid w:val="00675D9B"/>
    <w:rsid w:val="00675DE6"/>
    <w:rsid w:val="00676338"/>
    <w:rsid w:val="006765F3"/>
    <w:rsid w:val="00676610"/>
    <w:rsid w:val="006772FD"/>
    <w:rsid w:val="00677A03"/>
    <w:rsid w:val="00677B9F"/>
    <w:rsid w:val="006800FE"/>
    <w:rsid w:val="006801A7"/>
    <w:rsid w:val="0068038C"/>
    <w:rsid w:val="00680441"/>
    <w:rsid w:val="006813A7"/>
    <w:rsid w:val="006829F8"/>
    <w:rsid w:val="00682DED"/>
    <w:rsid w:val="006831BD"/>
    <w:rsid w:val="006831E0"/>
    <w:rsid w:val="006836B7"/>
    <w:rsid w:val="00683804"/>
    <w:rsid w:val="006842B0"/>
    <w:rsid w:val="0068431C"/>
    <w:rsid w:val="00684584"/>
    <w:rsid w:val="00684716"/>
    <w:rsid w:val="0068477C"/>
    <w:rsid w:val="006847DA"/>
    <w:rsid w:val="0068493C"/>
    <w:rsid w:val="00684D19"/>
    <w:rsid w:val="00685521"/>
    <w:rsid w:val="006858B3"/>
    <w:rsid w:val="00685AA2"/>
    <w:rsid w:val="00686359"/>
    <w:rsid w:val="006864F0"/>
    <w:rsid w:val="00686644"/>
    <w:rsid w:val="00686A1B"/>
    <w:rsid w:val="0068746D"/>
    <w:rsid w:val="00687C55"/>
    <w:rsid w:val="00687FCC"/>
    <w:rsid w:val="00690677"/>
    <w:rsid w:val="00690681"/>
    <w:rsid w:val="00690768"/>
    <w:rsid w:val="00690B75"/>
    <w:rsid w:val="00690CDE"/>
    <w:rsid w:val="00691117"/>
    <w:rsid w:val="006916C1"/>
    <w:rsid w:val="00691ECB"/>
    <w:rsid w:val="0069242F"/>
    <w:rsid w:val="00693F17"/>
    <w:rsid w:val="00694589"/>
    <w:rsid w:val="00694655"/>
    <w:rsid w:val="0069589A"/>
    <w:rsid w:val="00695F7C"/>
    <w:rsid w:val="006966B3"/>
    <w:rsid w:val="00696914"/>
    <w:rsid w:val="00697C0B"/>
    <w:rsid w:val="00697DB9"/>
    <w:rsid w:val="006A0015"/>
    <w:rsid w:val="006A01AC"/>
    <w:rsid w:val="006A01EE"/>
    <w:rsid w:val="006A029F"/>
    <w:rsid w:val="006A0ACF"/>
    <w:rsid w:val="006A0B67"/>
    <w:rsid w:val="006A11DF"/>
    <w:rsid w:val="006A15AD"/>
    <w:rsid w:val="006A1AAF"/>
    <w:rsid w:val="006A1C46"/>
    <w:rsid w:val="006A1DFD"/>
    <w:rsid w:val="006A1EB5"/>
    <w:rsid w:val="006A22F2"/>
    <w:rsid w:val="006A2733"/>
    <w:rsid w:val="006A27C1"/>
    <w:rsid w:val="006A2B05"/>
    <w:rsid w:val="006A2F6E"/>
    <w:rsid w:val="006A3033"/>
    <w:rsid w:val="006A32A8"/>
    <w:rsid w:val="006A3A0D"/>
    <w:rsid w:val="006A3D6B"/>
    <w:rsid w:val="006A3DA1"/>
    <w:rsid w:val="006A3EA7"/>
    <w:rsid w:val="006A40F2"/>
    <w:rsid w:val="006A451E"/>
    <w:rsid w:val="006A510A"/>
    <w:rsid w:val="006A5162"/>
    <w:rsid w:val="006A54C1"/>
    <w:rsid w:val="006A59AC"/>
    <w:rsid w:val="006A60CF"/>
    <w:rsid w:val="006A65F5"/>
    <w:rsid w:val="006A6C6F"/>
    <w:rsid w:val="006A75B8"/>
    <w:rsid w:val="006A764A"/>
    <w:rsid w:val="006A7938"/>
    <w:rsid w:val="006A794C"/>
    <w:rsid w:val="006A7E68"/>
    <w:rsid w:val="006A7FFE"/>
    <w:rsid w:val="006B04DB"/>
    <w:rsid w:val="006B054E"/>
    <w:rsid w:val="006B0630"/>
    <w:rsid w:val="006B088A"/>
    <w:rsid w:val="006B0A32"/>
    <w:rsid w:val="006B0FEC"/>
    <w:rsid w:val="006B112D"/>
    <w:rsid w:val="006B13B8"/>
    <w:rsid w:val="006B17EB"/>
    <w:rsid w:val="006B1ABB"/>
    <w:rsid w:val="006B1BB2"/>
    <w:rsid w:val="006B1F75"/>
    <w:rsid w:val="006B296D"/>
    <w:rsid w:val="006B2DBE"/>
    <w:rsid w:val="006B3140"/>
    <w:rsid w:val="006B3226"/>
    <w:rsid w:val="006B33CC"/>
    <w:rsid w:val="006B40CB"/>
    <w:rsid w:val="006B4113"/>
    <w:rsid w:val="006B4242"/>
    <w:rsid w:val="006B43FB"/>
    <w:rsid w:val="006B4574"/>
    <w:rsid w:val="006B4708"/>
    <w:rsid w:val="006B4A46"/>
    <w:rsid w:val="006B6207"/>
    <w:rsid w:val="006B6691"/>
    <w:rsid w:val="006B6C45"/>
    <w:rsid w:val="006B6D26"/>
    <w:rsid w:val="006B6F91"/>
    <w:rsid w:val="006B73AA"/>
    <w:rsid w:val="006B74E8"/>
    <w:rsid w:val="006B7589"/>
    <w:rsid w:val="006B7C99"/>
    <w:rsid w:val="006B7E45"/>
    <w:rsid w:val="006C0757"/>
    <w:rsid w:val="006C0897"/>
    <w:rsid w:val="006C08D1"/>
    <w:rsid w:val="006C0ACE"/>
    <w:rsid w:val="006C0BA6"/>
    <w:rsid w:val="006C12F8"/>
    <w:rsid w:val="006C1326"/>
    <w:rsid w:val="006C13DF"/>
    <w:rsid w:val="006C13E4"/>
    <w:rsid w:val="006C27B3"/>
    <w:rsid w:val="006C2A1E"/>
    <w:rsid w:val="006C2D74"/>
    <w:rsid w:val="006C314F"/>
    <w:rsid w:val="006C341C"/>
    <w:rsid w:val="006C37F8"/>
    <w:rsid w:val="006C3AC2"/>
    <w:rsid w:val="006C3DC2"/>
    <w:rsid w:val="006C4152"/>
    <w:rsid w:val="006C4305"/>
    <w:rsid w:val="006C5047"/>
    <w:rsid w:val="006C5E3B"/>
    <w:rsid w:val="006C5F1E"/>
    <w:rsid w:val="006C6061"/>
    <w:rsid w:val="006C6580"/>
    <w:rsid w:val="006C6A10"/>
    <w:rsid w:val="006C72ED"/>
    <w:rsid w:val="006C7A2B"/>
    <w:rsid w:val="006C7E08"/>
    <w:rsid w:val="006C7F6F"/>
    <w:rsid w:val="006D02D9"/>
    <w:rsid w:val="006D06B3"/>
    <w:rsid w:val="006D07B7"/>
    <w:rsid w:val="006D0BF5"/>
    <w:rsid w:val="006D0D47"/>
    <w:rsid w:val="006D1175"/>
    <w:rsid w:val="006D14B8"/>
    <w:rsid w:val="006D14E1"/>
    <w:rsid w:val="006D1A2E"/>
    <w:rsid w:val="006D1CEC"/>
    <w:rsid w:val="006D2010"/>
    <w:rsid w:val="006D29F1"/>
    <w:rsid w:val="006D38E1"/>
    <w:rsid w:val="006D39A9"/>
    <w:rsid w:val="006D3A2C"/>
    <w:rsid w:val="006D3B07"/>
    <w:rsid w:val="006D40E1"/>
    <w:rsid w:val="006D42E4"/>
    <w:rsid w:val="006D468F"/>
    <w:rsid w:val="006D4B55"/>
    <w:rsid w:val="006D4CDE"/>
    <w:rsid w:val="006D4E9E"/>
    <w:rsid w:val="006D5113"/>
    <w:rsid w:val="006D5260"/>
    <w:rsid w:val="006D5293"/>
    <w:rsid w:val="006D5ABA"/>
    <w:rsid w:val="006D6600"/>
    <w:rsid w:val="006D6A14"/>
    <w:rsid w:val="006D6C17"/>
    <w:rsid w:val="006D73B9"/>
    <w:rsid w:val="006D772F"/>
    <w:rsid w:val="006D77ED"/>
    <w:rsid w:val="006D7BCF"/>
    <w:rsid w:val="006E01AB"/>
    <w:rsid w:val="006E0D04"/>
    <w:rsid w:val="006E0F73"/>
    <w:rsid w:val="006E1208"/>
    <w:rsid w:val="006E1A97"/>
    <w:rsid w:val="006E1E87"/>
    <w:rsid w:val="006E1F1D"/>
    <w:rsid w:val="006E2C81"/>
    <w:rsid w:val="006E2E78"/>
    <w:rsid w:val="006E2FD0"/>
    <w:rsid w:val="006E3050"/>
    <w:rsid w:val="006E3615"/>
    <w:rsid w:val="006E3C25"/>
    <w:rsid w:val="006E40B1"/>
    <w:rsid w:val="006E49E0"/>
    <w:rsid w:val="006E50F5"/>
    <w:rsid w:val="006E5E26"/>
    <w:rsid w:val="006E5E84"/>
    <w:rsid w:val="006E5FC1"/>
    <w:rsid w:val="006E608C"/>
    <w:rsid w:val="006E68BA"/>
    <w:rsid w:val="006E702A"/>
    <w:rsid w:val="006E71DF"/>
    <w:rsid w:val="006E7254"/>
    <w:rsid w:val="006E73CF"/>
    <w:rsid w:val="006E73DF"/>
    <w:rsid w:val="006E78B5"/>
    <w:rsid w:val="006F003E"/>
    <w:rsid w:val="006F03E0"/>
    <w:rsid w:val="006F0C3C"/>
    <w:rsid w:val="006F1453"/>
    <w:rsid w:val="006F147C"/>
    <w:rsid w:val="006F1780"/>
    <w:rsid w:val="006F1B7E"/>
    <w:rsid w:val="006F1BCA"/>
    <w:rsid w:val="006F1FA8"/>
    <w:rsid w:val="006F2AD9"/>
    <w:rsid w:val="006F2B33"/>
    <w:rsid w:val="006F3294"/>
    <w:rsid w:val="006F3417"/>
    <w:rsid w:val="006F37BD"/>
    <w:rsid w:val="006F3F79"/>
    <w:rsid w:val="006F478F"/>
    <w:rsid w:val="006F4C1F"/>
    <w:rsid w:val="006F50CA"/>
    <w:rsid w:val="006F62D9"/>
    <w:rsid w:val="006F656D"/>
    <w:rsid w:val="006F681C"/>
    <w:rsid w:val="006F6906"/>
    <w:rsid w:val="006F6956"/>
    <w:rsid w:val="006F6B51"/>
    <w:rsid w:val="006F6D9D"/>
    <w:rsid w:val="006F7771"/>
    <w:rsid w:val="006F7DFC"/>
    <w:rsid w:val="006F7E03"/>
    <w:rsid w:val="00700098"/>
    <w:rsid w:val="007006FA"/>
    <w:rsid w:val="00700793"/>
    <w:rsid w:val="00700A50"/>
    <w:rsid w:val="00700B32"/>
    <w:rsid w:val="00700CCA"/>
    <w:rsid w:val="00700EEB"/>
    <w:rsid w:val="00700FAC"/>
    <w:rsid w:val="007017C8"/>
    <w:rsid w:val="007017F6"/>
    <w:rsid w:val="007020E2"/>
    <w:rsid w:val="0070242D"/>
    <w:rsid w:val="0070252D"/>
    <w:rsid w:val="007029B3"/>
    <w:rsid w:val="00702AF1"/>
    <w:rsid w:val="00702CA2"/>
    <w:rsid w:val="007030A9"/>
    <w:rsid w:val="00703242"/>
    <w:rsid w:val="00703B60"/>
    <w:rsid w:val="00704A3B"/>
    <w:rsid w:val="00705400"/>
    <w:rsid w:val="00705867"/>
    <w:rsid w:val="0070598E"/>
    <w:rsid w:val="00705B36"/>
    <w:rsid w:val="00705CD3"/>
    <w:rsid w:val="00706518"/>
    <w:rsid w:val="007068A1"/>
    <w:rsid w:val="00706A88"/>
    <w:rsid w:val="00706BAE"/>
    <w:rsid w:val="00706D49"/>
    <w:rsid w:val="00707160"/>
    <w:rsid w:val="007071D7"/>
    <w:rsid w:val="00707740"/>
    <w:rsid w:val="00707B90"/>
    <w:rsid w:val="00707FB6"/>
    <w:rsid w:val="00710170"/>
    <w:rsid w:val="00710BEC"/>
    <w:rsid w:val="00710CFE"/>
    <w:rsid w:val="00710E98"/>
    <w:rsid w:val="007110D7"/>
    <w:rsid w:val="0071208C"/>
    <w:rsid w:val="0071250A"/>
    <w:rsid w:val="0071334E"/>
    <w:rsid w:val="0071394A"/>
    <w:rsid w:val="00713AEA"/>
    <w:rsid w:val="00713B61"/>
    <w:rsid w:val="00714212"/>
    <w:rsid w:val="00714DA1"/>
    <w:rsid w:val="00715204"/>
    <w:rsid w:val="007158F5"/>
    <w:rsid w:val="00715A0D"/>
    <w:rsid w:val="00715C26"/>
    <w:rsid w:val="0071600C"/>
    <w:rsid w:val="007161C4"/>
    <w:rsid w:val="00716CAD"/>
    <w:rsid w:val="007177E3"/>
    <w:rsid w:val="007178DB"/>
    <w:rsid w:val="0071793B"/>
    <w:rsid w:val="00720255"/>
    <w:rsid w:val="007207BD"/>
    <w:rsid w:val="0072151D"/>
    <w:rsid w:val="0072179A"/>
    <w:rsid w:val="00721852"/>
    <w:rsid w:val="00722050"/>
    <w:rsid w:val="007221E1"/>
    <w:rsid w:val="00722971"/>
    <w:rsid w:val="00722D4A"/>
    <w:rsid w:val="00722D69"/>
    <w:rsid w:val="007233B8"/>
    <w:rsid w:val="00723590"/>
    <w:rsid w:val="00723DDD"/>
    <w:rsid w:val="00724071"/>
    <w:rsid w:val="00724713"/>
    <w:rsid w:val="0072479F"/>
    <w:rsid w:val="00724A8B"/>
    <w:rsid w:val="00724C62"/>
    <w:rsid w:val="00724E2C"/>
    <w:rsid w:val="007253C3"/>
    <w:rsid w:val="00725BCC"/>
    <w:rsid w:val="0072613C"/>
    <w:rsid w:val="00726587"/>
    <w:rsid w:val="00726AAC"/>
    <w:rsid w:val="00726B87"/>
    <w:rsid w:val="00726FFE"/>
    <w:rsid w:val="0072739E"/>
    <w:rsid w:val="00727826"/>
    <w:rsid w:val="00727B13"/>
    <w:rsid w:val="00727EA3"/>
    <w:rsid w:val="0073066B"/>
    <w:rsid w:val="00730C3D"/>
    <w:rsid w:val="007310CC"/>
    <w:rsid w:val="00731644"/>
    <w:rsid w:val="007319C7"/>
    <w:rsid w:val="00731D56"/>
    <w:rsid w:val="007320BD"/>
    <w:rsid w:val="007326DA"/>
    <w:rsid w:val="00732945"/>
    <w:rsid w:val="00732A66"/>
    <w:rsid w:val="00732EAA"/>
    <w:rsid w:val="00732F6E"/>
    <w:rsid w:val="007331FB"/>
    <w:rsid w:val="0073334C"/>
    <w:rsid w:val="0073364B"/>
    <w:rsid w:val="00733A50"/>
    <w:rsid w:val="00733C2B"/>
    <w:rsid w:val="00733C88"/>
    <w:rsid w:val="00733E58"/>
    <w:rsid w:val="00734FE6"/>
    <w:rsid w:val="007350DA"/>
    <w:rsid w:val="00735436"/>
    <w:rsid w:val="00735D7C"/>
    <w:rsid w:val="00735DBF"/>
    <w:rsid w:val="007366E3"/>
    <w:rsid w:val="00736903"/>
    <w:rsid w:val="00736A41"/>
    <w:rsid w:val="00736C2D"/>
    <w:rsid w:val="0073725C"/>
    <w:rsid w:val="0073728D"/>
    <w:rsid w:val="00737B1F"/>
    <w:rsid w:val="00737FA8"/>
    <w:rsid w:val="00737FAE"/>
    <w:rsid w:val="007404EB"/>
    <w:rsid w:val="00740933"/>
    <w:rsid w:val="00740DD8"/>
    <w:rsid w:val="00740FAC"/>
    <w:rsid w:val="00741473"/>
    <w:rsid w:val="0074218E"/>
    <w:rsid w:val="00742946"/>
    <w:rsid w:val="00742993"/>
    <w:rsid w:val="00742D51"/>
    <w:rsid w:val="0074325C"/>
    <w:rsid w:val="00743E1E"/>
    <w:rsid w:val="00744116"/>
    <w:rsid w:val="007444A9"/>
    <w:rsid w:val="0074461E"/>
    <w:rsid w:val="00744C85"/>
    <w:rsid w:val="00744DD0"/>
    <w:rsid w:val="00744FE3"/>
    <w:rsid w:val="00745826"/>
    <w:rsid w:val="00745893"/>
    <w:rsid w:val="00745C6D"/>
    <w:rsid w:val="00746092"/>
    <w:rsid w:val="0074621B"/>
    <w:rsid w:val="0074627E"/>
    <w:rsid w:val="0074697E"/>
    <w:rsid w:val="00746F35"/>
    <w:rsid w:val="0074748F"/>
    <w:rsid w:val="007476FA"/>
    <w:rsid w:val="00747768"/>
    <w:rsid w:val="00747AE7"/>
    <w:rsid w:val="00747B45"/>
    <w:rsid w:val="00747D4C"/>
    <w:rsid w:val="007500F4"/>
    <w:rsid w:val="007505D0"/>
    <w:rsid w:val="00750E23"/>
    <w:rsid w:val="00751020"/>
    <w:rsid w:val="007518B4"/>
    <w:rsid w:val="007519D0"/>
    <w:rsid w:val="00751B62"/>
    <w:rsid w:val="00751F22"/>
    <w:rsid w:val="0075201C"/>
    <w:rsid w:val="00752230"/>
    <w:rsid w:val="00752497"/>
    <w:rsid w:val="007529BD"/>
    <w:rsid w:val="00752C19"/>
    <w:rsid w:val="00752C61"/>
    <w:rsid w:val="00752DF8"/>
    <w:rsid w:val="00752ED9"/>
    <w:rsid w:val="00753242"/>
    <w:rsid w:val="00753673"/>
    <w:rsid w:val="00753B30"/>
    <w:rsid w:val="00753E0F"/>
    <w:rsid w:val="00754440"/>
    <w:rsid w:val="007544AF"/>
    <w:rsid w:val="007545A9"/>
    <w:rsid w:val="00754E2C"/>
    <w:rsid w:val="007553B1"/>
    <w:rsid w:val="00755799"/>
    <w:rsid w:val="007564CB"/>
    <w:rsid w:val="0075699E"/>
    <w:rsid w:val="00756F38"/>
    <w:rsid w:val="007573B0"/>
    <w:rsid w:val="007574A4"/>
    <w:rsid w:val="00757C90"/>
    <w:rsid w:val="00757CFF"/>
    <w:rsid w:val="00761498"/>
    <w:rsid w:val="00761C0C"/>
    <w:rsid w:val="00761F98"/>
    <w:rsid w:val="00762495"/>
    <w:rsid w:val="007627FE"/>
    <w:rsid w:val="00762AC7"/>
    <w:rsid w:val="007630B5"/>
    <w:rsid w:val="007632C0"/>
    <w:rsid w:val="0076365C"/>
    <w:rsid w:val="007637CD"/>
    <w:rsid w:val="0076392A"/>
    <w:rsid w:val="00763C61"/>
    <w:rsid w:val="00764565"/>
    <w:rsid w:val="00764C31"/>
    <w:rsid w:val="00764D34"/>
    <w:rsid w:val="00764DE0"/>
    <w:rsid w:val="007650D9"/>
    <w:rsid w:val="00765C5A"/>
    <w:rsid w:val="00765CDD"/>
    <w:rsid w:val="00766389"/>
    <w:rsid w:val="00767136"/>
    <w:rsid w:val="0076752A"/>
    <w:rsid w:val="00767BFB"/>
    <w:rsid w:val="00767E25"/>
    <w:rsid w:val="00767E4D"/>
    <w:rsid w:val="00767EAC"/>
    <w:rsid w:val="00770385"/>
    <w:rsid w:val="0077058D"/>
    <w:rsid w:val="0077060B"/>
    <w:rsid w:val="007707BB"/>
    <w:rsid w:val="00770BD9"/>
    <w:rsid w:val="00770C6E"/>
    <w:rsid w:val="00771EFC"/>
    <w:rsid w:val="00771F42"/>
    <w:rsid w:val="007723B0"/>
    <w:rsid w:val="00772D21"/>
    <w:rsid w:val="00772F1D"/>
    <w:rsid w:val="007733A3"/>
    <w:rsid w:val="00775192"/>
    <w:rsid w:val="00775816"/>
    <w:rsid w:val="007758C7"/>
    <w:rsid w:val="007758EC"/>
    <w:rsid w:val="00775DF8"/>
    <w:rsid w:val="00776297"/>
    <w:rsid w:val="007762D1"/>
    <w:rsid w:val="007769C1"/>
    <w:rsid w:val="00776FE8"/>
    <w:rsid w:val="007775A0"/>
    <w:rsid w:val="00777725"/>
    <w:rsid w:val="0078026A"/>
    <w:rsid w:val="00780988"/>
    <w:rsid w:val="00781DB2"/>
    <w:rsid w:val="00782066"/>
    <w:rsid w:val="00782C42"/>
    <w:rsid w:val="0078331A"/>
    <w:rsid w:val="007838A2"/>
    <w:rsid w:val="0078410A"/>
    <w:rsid w:val="00784622"/>
    <w:rsid w:val="00785C9B"/>
    <w:rsid w:val="00786175"/>
    <w:rsid w:val="00786196"/>
    <w:rsid w:val="0078630E"/>
    <w:rsid w:val="007863F7"/>
    <w:rsid w:val="007870CD"/>
    <w:rsid w:val="0078717A"/>
    <w:rsid w:val="00787839"/>
    <w:rsid w:val="00787B1D"/>
    <w:rsid w:val="0079025A"/>
    <w:rsid w:val="007903DE"/>
    <w:rsid w:val="007903FA"/>
    <w:rsid w:val="007906EF"/>
    <w:rsid w:val="00790893"/>
    <w:rsid w:val="007908AC"/>
    <w:rsid w:val="0079115F"/>
    <w:rsid w:val="0079118D"/>
    <w:rsid w:val="007914B1"/>
    <w:rsid w:val="0079182D"/>
    <w:rsid w:val="00791C75"/>
    <w:rsid w:val="00791F53"/>
    <w:rsid w:val="0079233B"/>
    <w:rsid w:val="00793174"/>
    <w:rsid w:val="007931DD"/>
    <w:rsid w:val="00793249"/>
    <w:rsid w:val="007933E4"/>
    <w:rsid w:val="00794399"/>
    <w:rsid w:val="0079452F"/>
    <w:rsid w:val="00794B7E"/>
    <w:rsid w:val="00794FC3"/>
    <w:rsid w:val="007954EF"/>
    <w:rsid w:val="00795B20"/>
    <w:rsid w:val="00795E44"/>
    <w:rsid w:val="00795F43"/>
    <w:rsid w:val="007963FB"/>
    <w:rsid w:val="0079674A"/>
    <w:rsid w:val="00796F07"/>
    <w:rsid w:val="00796F81"/>
    <w:rsid w:val="00796F99"/>
    <w:rsid w:val="00797171"/>
    <w:rsid w:val="007971F8"/>
    <w:rsid w:val="007973F6"/>
    <w:rsid w:val="0079764C"/>
    <w:rsid w:val="00797C76"/>
    <w:rsid w:val="007A0204"/>
    <w:rsid w:val="007A0403"/>
    <w:rsid w:val="007A0A4B"/>
    <w:rsid w:val="007A0ACC"/>
    <w:rsid w:val="007A18EA"/>
    <w:rsid w:val="007A1A19"/>
    <w:rsid w:val="007A1CF6"/>
    <w:rsid w:val="007A1FCE"/>
    <w:rsid w:val="007A23BB"/>
    <w:rsid w:val="007A294E"/>
    <w:rsid w:val="007A2B69"/>
    <w:rsid w:val="007A2CD0"/>
    <w:rsid w:val="007A30D2"/>
    <w:rsid w:val="007A3C3C"/>
    <w:rsid w:val="007A400B"/>
    <w:rsid w:val="007A450A"/>
    <w:rsid w:val="007A4655"/>
    <w:rsid w:val="007A4713"/>
    <w:rsid w:val="007A4E6C"/>
    <w:rsid w:val="007A5492"/>
    <w:rsid w:val="007A5D9F"/>
    <w:rsid w:val="007A5E49"/>
    <w:rsid w:val="007A5F6F"/>
    <w:rsid w:val="007A6631"/>
    <w:rsid w:val="007A75D5"/>
    <w:rsid w:val="007A79E6"/>
    <w:rsid w:val="007A7C60"/>
    <w:rsid w:val="007A7DA1"/>
    <w:rsid w:val="007B004B"/>
    <w:rsid w:val="007B049B"/>
    <w:rsid w:val="007B06DD"/>
    <w:rsid w:val="007B08A5"/>
    <w:rsid w:val="007B1300"/>
    <w:rsid w:val="007B1687"/>
    <w:rsid w:val="007B17F1"/>
    <w:rsid w:val="007B1A8B"/>
    <w:rsid w:val="007B1DD3"/>
    <w:rsid w:val="007B233F"/>
    <w:rsid w:val="007B241B"/>
    <w:rsid w:val="007B26F4"/>
    <w:rsid w:val="007B2DBE"/>
    <w:rsid w:val="007B352F"/>
    <w:rsid w:val="007B36C4"/>
    <w:rsid w:val="007B3BA7"/>
    <w:rsid w:val="007B3BF7"/>
    <w:rsid w:val="007B3EF0"/>
    <w:rsid w:val="007B43BE"/>
    <w:rsid w:val="007B47A1"/>
    <w:rsid w:val="007B49F1"/>
    <w:rsid w:val="007B4C9A"/>
    <w:rsid w:val="007B4E65"/>
    <w:rsid w:val="007B4F01"/>
    <w:rsid w:val="007B5775"/>
    <w:rsid w:val="007B5912"/>
    <w:rsid w:val="007B5EAE"/>
    <w:rsid w:val="007B6286"/>
    <w:rsid w:val="007B6571"/>
    <w:rsid w:val="007B669A"/>
    <w:rsid w:val="007B67FF"/>
    <w:rsid w:val="007B6DC8"/>
    <w:rsid w:val="007B748A"/>
    <w:rsid w:val="007B76F7"/>
    <w:rsid w:val="007B7F32"/>
    <w:rsid w:val="007C039C"/>
    <w:rsid w:val="007C04D1"/>
    <w:rsid w:val="007C1AE8"/>
    <w:rsid w:val="007C1B02"/>
    <w:rsid w:val="007C1F44"/>
    <w:rsid w:val="007C2E36"/>
    <w:rsid w:val="007C3170"/>
    <w:rsid w:val="007C3669"/>
    <w:rsid w:val="007C433B"/>
    <w:rsid w:val="007C441F"/>
    <w:rsid w:val="007C45FC"/>
    <w:rsid w:val="007C4D74"/>
    <w:rsid w:val="007C4F81"/>
    <w:rsid w:val="007C50B0"/>
    <w:rsid w:val="007C5123"/>
    <w:rsid w:val="007C52D4"/>
    <w:rsid w:val="007C5415"/>
    <w:rsid w:val="007C568F"/>
    <w:rsid w:val="007C5CCF"/>
    <w:rsid w:val="007C5F8B"/>
    <w:rsid w:val="007C62C8"/>
    <w:rsid w:val="007C6325"/>
    <w:rsid w:val="007C6473"/>
    <w:rsid w:val="007C6972"/>
    <w:rsid w:val="007C6AA3"/>
    <w:rsid w:val="007C6BAB"/>
    <w:rsid w:val="007C72E2"/>
    <w:rsid w:val="007C738C"/>
    <w:rsid w:val="007C7628"/>
    <w:rsid w:val="007C78C9"/>
    <w:rsid w:val="007C7D31"/>
    <w:rsid w:val="007D0421"/>
    <w:rsid w:val="007D0482"/>
    <w:rsid w:val="007D0E3E"/>
    <w:rsid w:val="007D1806"/>
    <w:rsid w:val="007D24B2"/>
    <w:rsid w:val="007D2A34"/>
    <w:rsid w:val="007D2AE2"/>
    <w:rsid w:val="007D2B8B"/>
    <w:rsid w:val="007D322A"/>
    <w:rsid w:val="007D3CFE"/>
    <w:rsid w:val="007D3E1E"/>
    <w:rsid w:val="007D478D"/>
    <w:rsid w:val="007D4905"/>
    <w:rsid w:val="007D5782"/>
    <w:rsid w:val="007D59D1"/>
    <w:rsid w:val="007D62A8"/>
    <w:rsid w:val="007D6C40"/>
    <w:rsid w:val="007D6E35"/>
    <w:rsid w:val="007D6E74"/>
    <w:rsid w:val="007E01AB"/>
    <w:rsid w:val="007E026D"/>
    <w:rsid w:val="007E10B0"/>
    <w:rsid w:val="007E17F8"/>
    <w:rsid w:val="007E1F01"/>
    <w:rsid w:val="007E2472"/>
    <w:rsid w:val="007E25E1"/>
    <w:rsid w:val="007E2AC0"/>
    <w:rsid w:val="007E2CFC"/>
    <w:rsid w:val="007E342C"/>
    <w:rsid w:val="007E4417"/>
    <w:rsid w:val="007E48D8"/>
    <w:rsid w:val="007E4913"/>
    <w:rsid w:val="007E4FB1"/>
    <w:rsid w:val="007E5025"/>
    <w:rsid w:val="007E52DB"/>
    <w:rsid w:val="007E5713"/>
    <w:rsid w:val="007E5955"/>
    <w:rsid w:val="007E5BE7"/>
    <w:rsid w:val="007E5ECA"/>
    <w:rsid w:val="007E60E6"/>
    <w:rsid w:val="007E6452"/>
    <w:rsid w:val="007E6D1C"/>
    <w:rsid w:val="007E6E35"/>
    <w:rsid w:val="007E71DB"/>
    <w:rsid w:val="007E75C7"/>
    <w:rsid w:val="007E75F2"/>
    <w:rsid w:val="007F01A3"/>
    <w:rsid w:val="007F023B"/>
    <w:rsid w:val="007F02C7"/>
    <w:rsid w:val="007F035B"/>
    <w:rsid w:val="007F0428"/>
    <w:rsid w:val="007F0653"/>
    <w:rsid w:val="007F07CE"/>
    <w:rsid w:val="007F0F56"/>
    <w:rsid w:val="007F118D"/>
    <w:rsid w:val="007F16CE"/>
    <w:rsid w:val="007F1A04"/>
    <w:rsid w:val="007F1C5F"/>
    <w:rsid w:val="007F1E49"/>
    <w:rsid w:val="007F1E5A"/>
    <w:rsid w:val="007F3C1A"/>
    <w:rsid w:val="007F40FC"/>
    <w:rsid w:val="007F433A"/>
    <w:rsid w:val="007F4C15"/>
    <w:rsid w:val="007F4C4C"/>
    <w:rsid w:val="007F4CE1"/>
    <w:rsid w:val="007F4DA7"/>
    <w:rsid w:val="007F4F7E"/>
    <w:rsid w:val="007F531C"/>
    <w:rsid w:val="007F5533"/>
    <w:rsid w:val="007F56E6"/>
    <w:rsid w:val="007F5E6D"/>
    <w:rsid w:val="007F61F4"/>
    <w:rsid w:val="007F61FD"/>
    <w:rsid w:val="007F6201"/>
    <w:rsid w:val="007F6FD8"/>
    <w:rsid w:val="007F72BE"/>
    <w:rsid w:val="007F7373"/>
    <w:rsid w:val="007F73CB"/>
    <w:rsid w:val="007F768A"/>
    <w:rsid w:val="007F78E3"/>
    <w:rsid w:val="007F7911"/>
    <w:rsid w:val="007F7A37"/>
    <w:rsid w:val="007F7E48"/>
    <w:rsid w:val="008003D0"/>
    <w:rsid w:val="008008F1"/>
    <w:rsid w:val="00800999"/>
    <w:rsid w:val="008016B3"/>
    <w:rsid w:val="0080258D"/>
    <w:rsid w:val="00802804"/>
    <w:rsid w:val="00802AD0"/>
    <w:rsid w:val="008038E6"/>
    <w:rsid w:val="008038EA"/>
    <w:rsid w:val="00803D0D"/>
    <w:rsid w:val="00803D72"/>
    <w:rsid w:val="008041B8"/>
    <w:rsid w:val="008042DD"/>
    <w:rsid w:val="008044B1"/>
    <w:rsid w:val="0080489E"/>
    <w:rsid w:val="008048A7"/>
    <w:rsid w:val="00804BD1"/>
    <w:rsid w:val="00804C9A"/>
    <w:rsid w:val="00805803"/>
    <w:rsid w:val="00805919"/>
    <w:rsid w:val="0080594A"/>
    <w:rsid w:val="00805B74"/>
    <w:rsid w:val="00806F38"/>
    <w:rsid w:val="00806FD0"/>
    <w:rsid w:val="008071DF"/>
    <w:rsid w:val="00807217"/>
    <w:rsid w:val="00807626"/>
    <w:rsid w:val="00807736"/>
    <w:rsid w:val="00810070"/>
    <w:rsid w:val="0081013F"/>
    <w:rsid w:val="0081054A"/>
    <w:rsid w:val="00810CC3"/>
    <w:rsid w:val="00810CE3"/>
    <w:rsid w:val="00810ED7"/>
    <w:rsid w:val="00810FA1"/>
    <w:rsid w:val="0081137E"/>
    <w:rsid w:val="008114C0"/>
    <w:rsid w:val="0081213E"/>
    <w:rsid w:val="00812288"/>
    <w:rsid w:val="00812CAF"/>
    <w:rsid w:val="00812CD1"/>
    <w:rsid w:val="00812E1E"/>
    <w:rsid w:val="00812EF4"/>
    <w:rsid w:val="00813115"/>
    <w:rsid w:val="0081380F"/>
    <w:rsid w:val="00813AD2"/>
    <w:rsid w:val="00813E46"/>
    <w:rsid w:val="00813FE7"/>
    <w:rsid w:val="00814379"/>
    <w:rsid w:val="008147B6"/>
    <w:rsid w:val="0081511C"/>
    <w:rsid w:val="008151BD"/>
    <w:rsid w:val="00815ABE"/>
    <w:rsid w:val="0081624D"/>
    <w:rsid w:val="00816401"/>
    <w:rsid w:val="00816439"/>
    <w:rsid w:val="008168B5"/>
    <w:rsid w:val="00816ADA"/>
    <w:rsid w:val="00816CDF"/>
    <w:rsid w:val="008176CB"/>
    <w:rsid w:val="00817DF0"/>
    <w:rsid w:val="00820A6B"/>
    <w:rsid w:val="00821448"/>
    <w:rsid w:val="0082160D"/>
    <w:rsid w:val="00821D9C"/>
    <w:rsid w:val="00822187"/>
    <w:rsid w:val="00822279"/>
    <w:rsid w:val="008229AE"/>
    <w:rsid w:val="00822C76"/>
    <w:rsid w:val="00822D11"/>
    <w:rsid w:val="008246DA"/>
    <w:rsid w:val="00825162"/>
    <w:rsid w:val="00825DE3"/>
    <w:rsid w:val="00825FD7"/>
    <w:rsid w:val="008260B0"/>
    <w:rsid w:val="008268C8"/>
    <w:rsid w:val="00826975"/>
    <w:rsid w:val="00826D9B"/>
    <w:rsid w:val="00826DA7"/>
    <w:rsid w:val="008272A6"/>
    <w:rsid w:val="00827B49"/>
    <w:rsid w:val="00827D30"/>
    <w:rsid w:val="00827F34"/>
    <w:rsid w:val="008306BD"/>
    <w:rsid w:val="00830929"/>
    <w:rsid w:val="008309EB"/>
    <w:rsid w:val="00830AD0"/>
    <w:rsid w:val="00830CE3"/>
    <w:rsid w:val="00831C6B"/>
    <w:rsid w:val="00831E6A"/>
    <w:rsid w:val="0083217F"/>
    <w:rsid w:val="0083254B"/>
    <w:rsid w:val="0083291E"/>
    <w:rsid w:val="008329EC"/>
    <w:rsid w:val="00832D02"/>
    <w:rsid w:val="00832F72"/>
    <w:rsid w:val="00833028"/>
    <w:rsid w:val="0083321A"/>
    <w:rsid w:val="008333E1"/>
    <w:rsid w:val="0083375D"/>
    <w:rsid w:val="008337F1"/>
    <w:rsid w:val="00833914"/>
    <w:rsid w:val="00833B81"/>
    <w:rsid w:val="00834BAB"/>
    <w:rsid w:val="0083523F"/>
    <w:rsid w:val="00835660"/>
    <w:rsid w:val="008357DF"/>
    <w:rsid w:val="00835BF1"/>
    <w:rsid w:val="00835EE8"/>
    <w:rsid w:val="00835FA9"/>
    <w:rsid w:val="008368B7"/>
    <w:rsid w:val="00837548"/>
    <w:rsid w:val="008378EE"/>
    <w:rsid w:val="00837A54"/>
    <w:rsid w:val="00837DCB"/>
    <w:rsid w:val="00837FB5"/>
    <w:rsid w:val="00840116"/>
    <w:rsid w:val="0084059E"/>
    <w:rsid w:val="00840DEA"/>
    <w:rsid w:val="008413A4"/>
    <w:rsid w:val="00841FA6"/>
    <w:rsid w:val="00842351"/>
    <w:rsid w:val="0084263A"/>
    <w:rsid w:val="00842A84"/>
    <w:rsid w:val="008433D6"/>
    <w:rsid w:val="0084362B"/>
    <w:rsid w:val="00844B5D"/>
    <w:rsid w:val="00844D81"/>
    <w:rsid w:val="00845013"/>
    <w:rsid w:val="008457E2"/>
    <w:rsid w:val="00845D4A"/>
    <w:rsid w:val="00846266"/>
    <w:rsid w:val="0084627E"/>
    <w:rsid w:val="008463BA"/>
    <w:rsid w:val="00846AAA"/>
    <w:rsid w:val="00846C5D"/>
    <w:rsid w:val="00846ECE"/>
    <w:rsid w:val="0084716E"/>
    <w:rsid w:val="008471E4"/>
    <w:rsid w:val="00847370"/>
    <w:rsid w:val="00847E21"/>
    <w:rsid w:val="00850F8E"/>
    <w:rsid w:val="008510D0"/>
    <w:rsid w:val="00851225"/>
    <w:rsid w:val="00851827"/>
    <w:rsid w:val="00851E7F"/>
    <w:rsid w:val="0085212E"/>
    <w:rsid w:val="00852906"/>
    <w:rsid w:val="00852F83"/>
    <w:rsid w:val="008530DC"/>
    <w:rsid w:val="008534EB"/>
    <w:rsid w:val="00853A36"/>
    <w:rsid w:val="00853AC3"/>
    <w:rsid w:val="00853DEC"/>
    <w:rsid w:val="00853E52"/>
    <w:rsid w:val="00853E8B"/>
    <w:rsid w:val="00853FA5"/>
    <w:rsid w:val="0085403A"/>
    <w:rsid w:val="00854CD9"/>
    <w:rsid w:val="00855029"/>
    <w:rsid w:val="0085533C"/>
    <w:rsid w:val="00856028"/>
    <w:rsid w:val="008562B8"/>
    <w:rsid w:val="008562C6"/>
    <w:rsid w:val="00856437"/>
    <w:rsid w:val="0085688F"/>
    <w:rsid w:val="008569BF"/>
    <w:rsid w:val="00856F8E"/>
    <w:rsid w:val="00857168"/>
    <w:rsid w:val="00857223"/>
    <w:rsid w:val="008573FD"/>
    <w:rsid w:val="00857506"/>
    <w:rsid w:val="00857CA4"/>
    <w:rsid w:val="00857CAC"/>
    <w:rsid w:val="008602A4"/>
    <w:rsid w:val="00860AC0"/>
    <w:rsid w:val="00861175"/>
    <w:rsid w:val="00861705"/>
    <w:rsid w:val="008619D1"/>
    <w:rsid w:val="00861B6B"/>
    <w:rsid w:val="0086211A"/>
    <w:rsid w:val="00862940"/>
    <w:rsid w:val="00862AA0"/>
    <w:rsid w:val="00862BB8"/>
    <w:rsid w:val="0086332C"/>
    <w:rsid w:val="008635AC"/>
    <w:rsid w:val="00863713"/>
    <w:rsid w:val="00863BDE"/>
    <w:rsid w:val="00863C33"/>
    <w:rsid w:val="008641DB"/>
    <w:rsid w:val="008644F7"/>
    <w:rsid w:val="00864613"/>
    <w:rsid w:val="00864FC5"/>
    <w:rsid w:val="00865B5A"/>
    <w:rsid w:val="008663FF"/>
    <w:rsid w:val="008669F5"/>
    <w:rsid w:val="00866A95"/>
    <w:rsid w:val="00867030"/>
    <w:rsid w:val="008672FC"/>
    <w:rsid w:val="00867337"/>
    <w:rsid w:val="00867BBB"/>
    <w:rsid w:val="00867F07"/>
    <w:rsid w:val="00870F21"/>
    <w:rsid w:val="0087117D"/>
    <w:rsid w:val="00871598"/>
    <w:rsid w:val="008718A0"/>
    <w:rsid w:val="00871926"/>
    <w:rsid w:val="008719B9"/>
    <w:rsid w:val="008719E7"/>
    <w:rsid w:val="00871F91"/>
    <w:rsid w:val="0087229E"/>
    <w:rsid w:val="00872780"/>
    <w:rsid w:val="00872824"/>
    <w:rsid w:val="008729B9"/>
    <w:rsid w:val="00872BF1"/>
    <w:rsid w:val="00872E6A"/>
    <w:rsid w:val="008736FB"/>
    <w:rsid w:val="0087374A"/>
    <w:rsid w:val="00873AC0"/>
    <w:rsid w:val="00873CA4"/>
    <w:rsid w:val="008747C5"/>
    <w:rsid w:val="00874A32"/>
    <w:rsid w:val="00874E0C"/>
    <w:rsid w:val="008751A7"/>
    <w:rsid w:val="00875581"/>
    <w:rsid w:val="00875B8C"/>
    <w:rsid w:val="00875BC5"/>
    <w:rsid w:val="00875E33"/>
    <w:rsid w:val="00876D99"/>
    <w:rsid w:val="00877077"/>
    <w:rsid w:val="00877574"/>
    <w:rsid w:val="00877A41"/>
    <w:rsid w:val="00877F57"/>
    <w:rsid w:val="0088028E"/>
    <w:rsid w:val="008802A4"/>
    <w:rsid w:val="00880A17"/>
    <w:rsid w:val="0088140E"/>
    <w:rsid w:val="0088144E"/>
    <w:rsid w:val="008815AF"/>
    <w:rsid w:val="00881DC2"/>
    <w:rsid w:val="00881E8C"/>
    <w:rsid w:val="00882EED"/>
    <w:rsid w:val="0088380E"/>
    <w:rsid w:val="00883CF8"/>
    <w:rsid w:val="0088441A"/>
    <w:rsid w:val="008845FC"/>
    <w:rsid w:val="0088461D"/>
    <w:rsid w:val="00886160"/>
    <w:rsid w:val="008861B5"/>
    <w:rsid w:val="00886442"/>
    <w:rsid w:val="00886C11"/>
    <w:rsid w:val="00886CFA"/>
    <w:rsid w:val="00886D3B"/>
    <w:rsid w:val="0088712C"/>
    <w:rsid w:val="00887244"/>
    <w:rsid w:val="0088744A"/>
    <w:rsid w:val="008874D4"/>
    <w:rsid w:val="0089020D"/>
    <w:rsid w:val="0089043D"/>
    <w:rsid w:val="008906FE"/>
    <w:rsid w:val="00890A51"/>
    <w:rsid w:val="00891016"/>
    <w:rsid w:val="0089114E"/>
    <w:rsid w:val="00891262"/>
    <w:rsid w:val="008915E2"/>
    <w:rsid w:val="00891862"/>
    <w:rsid w:val="00891BE1"/>
    <w:rsid w:val="008927B2"/>
    <w:rsid w:val="00892C42"/>
    <w:rsid w:val="00892E07"/>
    <w:rsid w:val="008930B7"/>
    <w:rsid w:val="008930C9"/>
    <w:rsid w:val="00893150"/>
    <w:rsid w:val="0089340A"/>
    <w:rsid w:val="008939C8"/>
    <w:rsid w:val="00893CC4"/>
    <w:rsid w:val="008944F9"/>
    <w:rsid w:val="0089452F"/>
    <w:rsid w:val="00894EB9"/>
    <w:rsid w:val="00894ECB"/>
    <w:rsid w:val="008951FF"/>
    <w:rsid w:val="00895F87"/>
    <w:rsid w:val="00895FD0"/>
    <w:rsid w:val="00896617"/>
    <w:rsid w:val="00896B16"/>
    <w:rsid w:val="00896B9A"/>
    <w:rsid w:val="00896C4F"/>
    <w:rsid w:val="00897268"/>
    <w:rsid w:val="00897325"/>
    <w:rsid w:val="008978D8"/>
    <w:rsid w:val="00897974"/>
    <w:rsid w:val="00897AB2"/>
    <w:rsid w:val="00897E23"/>
    <w:rsid w:val="008A0376"/>
    <w:rsid w:val="008A05EC"/>
    <w:rsid w:val="008A08C7"/>
    <w:rsid w:val="008A0BF3"/>
    <w:rsid w:val="008A110C"/>
    <w:rsid w:val="008A2934"/>
    <w:rsid w:val="008A2F13"/>
    <w:rsid w:val="008A311F"/>
    <w:rsid w:val="008A31A3"/>
    <w:rsid w:val="008A3404"/>
    <w:rsid w:val="008A38A2"/>
    <w:rsid w:val="008A3947"/>
    <w:rsid w:val="008A3BDC"/>
    <w:rsid w:val="008A3F92"/>
    <w:rsid w:val="008A4072"/>
    <w:rsid w:val="008A4289"/>
    <w:rsid w:val="008A4378"/>
    <w:rsid w:val="008A4704"/>
    <w:rsid w:val="008A48BD"/>
    <w:rsid w:val="008A5062"/>
    <w:rsid w:val="008A5856"/>
    <w:rsid w:val="008A5AE5"/>
    <w:rsid w:val="008A5C00"/>
    <w:rsid w:val="008A611C"/>
    <w:rsid w:val="008A6972"/>
    <w:rsid w:val="008A6EFE"/>
    <w:rsid w:val="008A706C"/>
    <w:rsid w:val="008A71B6"/>
    <w:rsid w:val="008A743B"/>
    <w:rsid w:val="008A75D1"/>
    <w:rsid w:val="008A7747"/>
    <w:rsid w:val="008A7BF7"/>
    <w:rsid w:val="008A7DD7"/>
    <w:rsid w:val="008B00C2"/>
    <w:rsid w:val="008B0761"/>
    <w:rsid w:val="008B0BA2"/>
    <w:rsid w:val="008B296B"/>
    <w:rsid w:val="008B32B3"/>
    <w:rsid w:val="008B37FF"/>
    <w:rsid w:val="008B4126"/>
    <w:rsid w:val="008B4488"/>
    <w:rsid w:val="008B4566"/>
    <w:rsid w:val="008B4BFE"/>
    <w:rsid w:val="008B50C5"/>
    <w:rsid w:val="008B51AA"/>
    <w:rsid w:val="008B56EC"/>
    <w:rsid w:val="008B58DB"/>
    <w:rsid w:val="008B5A93"/>
    <w:rsid w:val="008B6A5C"/>
    <w:rsid w:val="008B7A40"/>
    <w:rsid w:val="008B7C2F"/>
    <w:rsid w:val="008C016F"/>
    <w:rsid w:val="008C0206"/>
    <w:rsid w:val="008C06F4"/>
    <w:rsid w:val="008C0894"/>
    <w:rsid w:val="008C09D5"/>
    <w:rsid w:val="008C1410"/>
    <w:rsid w:val="008C15D4"/>
    <w:rsid w:val="008C1623"/>
    <w:rsid w:val="008C182F"/>
    <w:rsid w:val="008C30F2"/>
    <w:rsid w:val="008C3392"/>
    <w:rsid w:val="008C3884"/>
    <w:rsid w:val="008C3CC8"/>
    <w:rsid w:val="008C464C"/>
    <w:rsid w:val="008C46BE"/>
    <w:rsid w:val="008C4834"/>
    <w:rsid w:val="008C4E86"/>
    <w:rsid w:val="008C4F36"/>
    <w:rsid w:val="008C5CC2"/>
    <w:rsid w:val="008C5E34"/>
    <w:rsid w:val="008C6BC7"/>
    <w:rsid w:val="008C703A"/>
    <w:rsid w:val="008C7421"/>
    <w:rsid w:val="008C78C8"/>
    <w:rsid w:val="008C7951"/>
    <w:rsid w:val="008C7BB6"/>
    <w:rsid w:val="008D0567"/>
    <w:rsid w:val="008D0E9A"/>
    <w:rsid w:val="008D1530"/>
    <w:rsid w:val="008D1E18"/>
    <w:rsid w:val="008D22D5"/>
    <w:rsid w:val="008D2B5A"/>
    <w:rsid w:val="008D2E73"/>
    <w:rsid w:val="008D3495"/>
    <w:rsid w:val="008D36AA"/>
    <w:rsid w:val="008D3E3F"/>
    <w:rsid w:val="008D5BEB"/>
    <w:rsid w:val="008D7144"/>
    <w:rsid w:val="008D72CA"/>
    <w:rsid w:val="008D7426"/>
    <w:rsid w:val="008D747A"/>
    <w:rsid w:val="008D74EE"/>
    <w:rsid w:val="008D7F12"/>
    <w:rsid w:val="008E00D7"/>
    <w:rsid w:val="008E0886"/>
    <w:rsid w:val="008E19CB"/>
    <w:rsid w:val="008E1A0E"/>
    <w:rsid w:val="008E1BD1"/>
    <w:rsid w:val="008E1F3C"/>
    <w:rsid w:val="008E2112"/>
    <w:rsid w:val="008E220B"/>
    <w:rsid w:val="008E280E"/>
    <w:rsid w:val="008E2883"/>
    <w:rsid w:val="008E28AA"/>
    <w:rsid w:val="008E2ADC"/>
    <w:rsid w:val="008E2BE4"/>
    <w:rsid w:val="008E30D2"/>
    <w:rsid w:val="008E3271"/>
    <w:rsid w:val="008E3933"/>
    <w:rsid w:val="008E39B1"/>
    <w:rsid w:val="008E43EB"/>
    <w:rsid w:val="008E45CD"/>
    <w:rsid w:val="008E4F56"/>
    <w:rsid w:val="008E50F2"/>
    <w:rsid w:val="008E55BB"/>
    <w:rsid w:val="008E578E"/>
    <w:rsid w:val="008E5A35"/>
    <w:rsid w:val="008E5C47"/>
    <w:rsid w:val="008E5F19"/>
    <w:rsid w:val="008E64FD"/>
    <w:rsid w:val="008E6D61"/>
    <w:rsid w:val="008E74E4"/>
    <w:rsid w:val="008E7675"/>
    <w:rsid w:val="008E786D"/>
    <w:rsid w:val="008E79B0"/>
    <w:rsid w:val="008E7D4C"/>
    <w:rsid w:val="008F0A88"/>
    <w:rsid w:val="008F16ED"/>
    <w:rsid w:val="008F1CF7"/>
    <w:rsid w:val="008F2326"/>
    <w:rsid w:val="008F232A"/>
    <w:rsid w:val="008F23E2"/>
    <w:rsid w:val="008F250D"/>
    <w:rsid w:val="008F2552"/>
    <w:rsid w:val="008F25E8"/>
    <w:rsid w:val="008F3648"/>
    <w:rsid w:val="008F36AA"/>
    <w:rsid w:val="008F3B36"/>
    <w:rsid w:val="008F3B9A"/>
    <w:rsid w:val="008F4668"/>
    <w:rsid w:val="008F4C27"/>
    <w:rsid w:val="008F4C89"/>
    <w:rsid w:val="008F4CFB"/>
    <w:rsid w:val="008F5A5C"/>
    <w:rsid w:val="008F5A5E"/>
    <w:rsid w:val="008F5B2A"/>
    <w:rsid w:val="008F6E7B"/>
    <w:rsid w:val="008F6EC2"/>
    <w:rsid w:val="008F712D"/>
    <w:rsid w:val="008F71CD"/>
    <w:rsid w:val="008F7A13"/>
    <w:rsid w:val="008F7CCA"/>
    <w:rsid w:val="008F7E54"/>
    <w:rsid w:val="00900B17"/>
    <w:rsid w:val="00900D7B"/>
    <w:rsid w:val="0090164F"/>
    <w:rsid w:val="0090177E"/>
    <w:rsid w:val="009025BF"/>
    <w:rsid w:val="00902D96"/>
    <w:rsid w:val="0090398D"/>
    <w:rsid w:val="00903A15"/>
    <w:rsid w:val="00903D53"/>
    <w:rsid w:val="00904047"/>
    <w:rsid w:val="00904903"/>
    <w:rsid w:val="00904B39"/>
    <w:rsid w:val="00904DAC"/>
    <w:rsid w:val="00905215"/>
    <w:rsid w:val="0090561E"/>
    <w:rsid w:val="00905D8D"/>
    <w:rsid w:val="0090665A"/>
    <w:rsid w:val="00906A51"/>
    <w:rsid w:val="009078CC"/>
    <w:rsid w:val="00907F49"/>
    <w:rsid w:val="009102F4"/>
    <w:rsid w:val="00910300"/>
    <w:rsid w:val="009114B2"/>
    <w:rsid w:val="009114BC"/>
    <w:rsid w:val="009114F4"/>
    <w:rsid w:val="00911908"/>
    <w:rsid w:val="00911C86"/>
    <w:rsid w:val="0091200D"/>
    <w:rsid w:val="009121FF"/>
    <w:rsid w:val="0091240C"/>
    <w:rsid w:val="0091248A"/>
    <w:rsid w:val="00912CB8"/>
    <w:rsid w:val="00913AC4"/>
    <w:rsid w:val="00913BD5"/>
    <w:rsid w:val="0091405F"/>
    <w:rsid w:val="0091460E"/>
    <w:rsid w:val="00914788"/>
    <w:rsid w:val="009147CA"/>
    <w:rsid w:val="0091557E"/>
    <w:rsid w:val="00915C7E"/>
    <w:rsid w:val="00917044"/>
    <w:rsid w:val="00917370"/>
    <w:rsid w:val="009175EE"/>
    <w:rsid w:val="00917AB5"/>
    <w:rsid w:val="009205BB"/>
    <w:rsid w:val="0092122A"/>
    <w:rsid w:val="00921349"/>
    <w:rsid w:val="009218B8"/>
    <w:rsid w:val="00921940"/>
    <w:rsid w:val="00921EF0"/>
    <w:rsid w:val="00922577"/>
    <w:rsid w:val="009227DD"/>
    <w:rsid w:val="00922BD9"/>
    <w:rsid w:val="0092316C"/>
    <w:rsid w:val="009235BA"/>
    <w:rsid w:val="0092368C"/>
    <w:rsid w:val="0092382E"/>
    <w:rsid w:val="009239EC"/>
    <w:rsid w:val="00923E00"/>
    <w:rsid w:val="00923FCF"/>
    <w:rsid w:val="009251CF"/>
    <w:rsid w:val="00925503"/>
    <w:rsid w:val="009255A6"/>
    <w:rsid w:val="00925957"/>
    <w:rsid w:val="00925C9B"/>
    <w:rsid w:val="009266C2"/>
    <w:rsid w:val="009268EA"/>
    <w:rsid w:val="00926977"/>
    <w:rsid w:val="00926C2D"/>
    <w:rsid w:val="0092701C"/>
    <w:rsid w:val="009274BF"/>
    <w:rsid w:val="009275BE"/>
    <w:rsid w:val="00927E99"/>
    <w:rsid w:val="009300CB"/>
    <w:rsid w:val="009303A6"/>
    <w:rsid w:val="00930469"/>
    <w:rsid w:val="009306E6"/>
    <w:rsid w:val="00930CB2"/>
    <w:rsid w:val="009314CB"/>
    <w:rsid w:val="00931518"/>
    <w:rsid w:val="009315C9"/>
    <w:rsid w:val="00931CD4"/>
    <w:rsid w:val="00931FD2"/>
    <w:rsid w:val="00932B70"/>
    <w:rsid w:val="00933444"/>
    <w:rsid w:val="009338CC"/>
    <w:rsid w:val="00934009"/>
    <w:rsid w:val="00934070"/>
    <w:rsid w:val="00934732"/>
    <w:rsid w:val="00934E70"/>
    <w:rsid w:val="0093505D"/>
    <w:rsid w:val="00935136"/>
    <w:rsid w:val="0093526A"/>
    <w:rsid w:val="00935413"/>
    <w:rsid w:val="009357DB"/>
    <w:rsid w:val="00935E22"/>
    <w:rsid w:val="00935E3B"/>
    <w:rsid w:val="00935EF2"/>
    <w:rsid w:val="009373BE"/>
    <w:rsid w:val="00937974"/>
    <w:rsid w:val="00940004"/>
    <w:rsid w:val="009405D4"/>
    <w:rsid w:val="00940912"/>
    <w:rsid w:val="00940BF8"/>
    <w:rsid w:val="00940D6B"/>
    <w:rsid w:val="00940EB8"/>
    <w:rsid w:val="009412D0"/>
    <w:rsid w:val="00941B65"/>
    <w:rsid w:val="00942F31"/>
    <w:rsid w:val="00943573"/>
    <w:rsid w:val="009436A6"/>
    <w:rsid w:val="009439A4"/>
    <w:rsid w:val="00943C6B"/>
    <w:rsid w:val="00943FE9"/>
    <w:rsid w:val="00944FF8"/>
    <w:rsid w:val="0094589E"/>
    <w:rsid w:val="00945992"/>
    <w:rsid w:val="0094620B"/>
    <w:rsid w:val="0094641B"/>
    <w:rsid w:val="009464F6"/>
    <w:rsid w:val="0094688E"/>
    <w:rsid w:val="00946E2A"/>
    <w:rsid w:val="00946F39"/>
    <w:rsid w:val="009471D6"/>
    <w:rsid w:val="00947201"/>
    <w:rsid w:val="00947885"/>
    <w:rsid w:val="009479D9"/>
    <w:rsid w:val="00947F25"/>
    <w:rsid w:val="009501B9"/>
    <w:rsid w:val="00950B12"/>
    <w:rsid w:val="00950B45"/>
    <w:rsid w:val="00951834"/>
    <w:rsid w:val="009520F3"/>
    <w:rsid w:val="0095271E"/>
    <w:rsid w:val="00953356"/>
    <w:rsid w:val="0095361C"/>
    <w:rsid w:val="00953C4F"/>
    <w:rsid w:val="00953CDB"/>
    <w:rsid w:val="00954024"/>
    <w:rsid w:val="009543B8"/>
    <w:rsid w:val="00954ADD"/>
    <w:rsid w:val="00954AFD"/>
    <w:rsid w:val="00954EE1"/>
    <w:rsid w:val="00955040"/>
    <w:rsid w:val="00955528"/>
    <w:rsid w:val="009555CB"/>
    <w:rsid w:val="0095589D"/>
    <w:rsid w:val="00955CDF"/>
    <w:rsid w:val="00956A14"/>
    <w:rsid w:val="00956EAE"/>
    <w:rsid w:val="00956FC1"/>
    <w:rsid w:val="00957231"/>
    <w:rsid w:val="00957258"/>
    <w:rsid w:val="009605C0"/>
    <w:rsid w:val="009607D9"/>
    <w:rsid w:val="009617C8"/>
    <w:rsid w:val="00961ED1"/>
    <w:rsid w:val="009622CB"/>
    <w:rsid w:val="009622DB"/>
    <w:rsid w:val="00962A0F"/>
    <w:rsid w:val="0096343F"/>
    <w:rsid w:val="00963C2A"/>
    <w:rsid w:val="00963DAE"/>
    <w:rsid w:val="00963DE9"/>
    <w:rsid w:val="00964E05"/>
    <w:rsid w:val="0096542F"/>
    <w:rsid w:val="009654D6"/>
    <w:rsid w:val="00965DC3"/>
    <w:rsid w:val="00965E94"/>
    <w:rsid w:val="00965EC9"/>
    <w:rsid w:val="009660B8"/>
    <w:rsid w:val="00966545"/>
    <w:rsid w:val="00966B1B"/>
    <w:rsid w:val="00966BF6"/>
    <w:rsid w:val="00966C1C"/>
    <w:rsid w:val="0096714F"/>
    <w:rsid w:val="009679CB"/>
    <w:rsid w:val="00970094"/>
    <w:rsid w:val="009707C5"/>
    <w:rsid w:val="00970800"/>
    <w:rsid w:val="00970B66"/>
    <w:rsid w:val="00970C6C"/>
    <w:rsid w:val="00970CF8"/>
    <w:rsid w:val="00971003"/>
    <w:rsid w:val="009713FE"/>
    <w:rsid w:val="009715DD"/>
    <w:rsid w:val="00971D6E"/>
    <w:rsid w:val="00972268"/>
    <w:rsid w:val="0097260C"/>
    <w:rsid w:val="00972809"/>
    <w:rsid w:val="00972EBC"/>
    <w:rsid w:val="00973020"/>
    <w:rsid w:val="0097427C"/>
    <w:rsid w:val="0097462E"/>
    <w:rsid w:val="00974AE3"/>
    <w:rsid w:val="00974C06"/>
    <w:rsid w:val="00974F27"/>
    <w:rsid w:val="009754DC"/>
    <w:rsid w:val="00975B65"/>
    <w:rsid w:val="00975D8A"/>
    <w:rsid w:val="00975DC3"/>
    <w:rsid w:val="0097610C"/>
    <w:rsid w:val="00976AE0"/>
    <w:rsid w:val="00976AF7"/>
    <w:rsid w:val="00976E01"/>
    <w:rsid w:val="00977658"/>
    <w:rsid w:val="0097768E"/>
    <w:rsid w:val="00977840"/>
    <w:rsid w:val="00977C07"/>
    <w:rsid w:val="0098021A"/>
    <w:rsid w:val="0098066C"/>
    <w:rsid w:val="0098077C"/>
    <w:rsid w:val="009807AC"/>
    <w:rsid w:val="00980914"/>
    <w:rsid w:val="00980B0C"/>
    <w:rsid w:val="00980EE8"/>
    <w:rsid w:val="00981221"/>
    <w:rsid w:val="00981520"/>
    <w:rsid w:val="0098158C"/>
    <w:rsid w:val="009818BF"/>
    <w:rsid w:val="00981C65"/>
    <w:rsid w:val="0098283A"/>
    <w:rsid w:val="0098308F"/>
    <w:rsid w:val="00984235"/>
    <w:rsid w:val="00984261"/>
    <w:rsid w:val="00984637"/>
    <w:rsid w:val="00984726"/>
    <w:rsid w:val="00984CDE"/>
    <w:rsid w:val="0098558D"/>
    <w:rsid w:val="00985DD5"/>
    <w:rsid w:val="0098616A"/>
    <w:rsid w:val="00986281"/>
    <w:rsid w:val="009867D4"/>
    <w:rsid w:val="00986D6C"/>
    <w:rsid w:val="009871A9"/>
    <w:rsid w:val="00987495"/>
    <w:rsid w:val="009903CF"/>
    <w:rsid w:val="009903D9"/>
    <w:rsid w:val="0099041F"/>
    <w:rsid w:val="00990764"/>
    <w:rsid w:val="00990A88"/>
    <w:rsid w:val="00990AE9"/>
    <w:rsid w:val="00990B34"/>
    <w:rsid w:val="00990E9C"/>
    <w:rsid w:val="00990EA2"/>
    <w:rsid w:val="00991115"/>
    <w:rsid w:val="00991955"/>
    <w:rsid w:val="009921A7"/>
    <w:rsid w:val="00992A94"/>
    <w:rsid w:val="00992AA6"/>
    <w:rsid w:val="0099301B"/>
    <w:rsid w:val="00993260"/>
    <w:rsid w:val="00993290"/>
    <w:rsid w:val="00993388"/>
    <w:rsid w:val="0099387E"/>
    <w:rsid w:val="009945AF"/>
    <w:rsid w:val="00994781"/>
    <w:rsid w:val="00994ED3"/>
    <w:rsid w:val="00995406"/>
    <w:rsid w:val="009954D7"/>
    <w:rsid w:val="009955FC"/>
    <w:rsid w:val="009956B5"/>
    <w:rsid w:val="00995759"/>
    <w:rsid w:val="00995DE7"/>
    <w:rsid w:val="009965E6"/>
    <w:rsid w:val="0099675E"/>
    <w:rsid w:val="00997597"/>
    <w:rsid w:val="0099775C"/>
    <w:rsid w:val="00997E6B"/>
    <w:rsid w:val="00997E95"/>
    <w:rsid w:val="009A0677"/>
    <w:rsid w:val="009A06AF"/>
    <w:rsid w:val="009A0A8A"/>
    <w:rsid w:val="009A0C71"/>
    <w:rsid w:val="009A1110"/>
    <w:rsid w:val="009A1151"/>
    <w:rsid w:val="009A11B6"/>
    <w:rsid w:val="009A16CA"/>
    <w:rsid w:val="009A1C49"/>
    <w:rsid w:val="009A2B55"/>
    <w:rsid w:val="009A2B98"/>
    <w:rsid w:val="009A2EC4"/>
    <w:rsid w:val="009A3A3E"/>
    <w:rsid w:val="009A3E7D"/>
    <w:rsid w:val="009A55D5"/>
    <w:rsid w:val="009A56BA"/>
    <w:rsid w:val="009A5ADE"/>
    <w:rsid w:val="009A618A"/>
    <w:rsid w:val="009A6233"/>
    <w:rsid w:val="009A62E2"/>
    <w:rsid w:val="009A6501"/>
    <w:rsid w:val="009A7052"/>
    <w:rsid w:val="009A70CB"/>
    <w:rsid w:val="009A75E3"/>
    <w:rsid w:val="009A77ED"/>
    <w:rsid w:val="009A78F7"/>
    <w:rsid w:val="009A7B54"/>
    <w:rsid w:val="009B01FF"/>
    <w:rsid w:val="009B0761"/>
    <w:rsid w:val="009B0E17"/>
    <w:rsid w:val="009B0FDD"/>
    <w:rsid w:val="009B1046"/>
    <w:rsid w:val="009B1515"/>
    <w:rsid w:val="009B1BAE"/>
    <w:rsid w:val="009B20C2"/>
    <w:rsid w:val="009B225F"/>
    <w:rsid w:val="009B2428"/>
    <w:rsid w:val="009B248B"/>
    <w:rsid w:val="009B26D6"/>
    <w:rsid w:val="009B2AB2"/>
    <w:rsid w:val="009B2C61"/>
    <w:rsid w:val="009B2C88"/>
    <w:rsid w:val="009B2D73"/>
    <w:rsid w:val="009B2E28"/>
    <w:rsid w:val="009B2E6B"/>
    <w:rsid w:val="009B34EC"/>
    <w:rsid w:val="009B3B8C"/>
    <w:rsid w:val="009B3E5F"/>
    <w:rsid w:val="009B4028"/>
    <w:rsid w:val="009B44E2"/>
    <w:rsid w:val="009B4B5F"/>
    <w:rsid w:val="009B4E7A"/>
    <w:rsid w:val="009B519C"/>
    <w:rsid w:val="009B557E"/>
    <w:rsid w:val="009B5832"/>
    <w:rsid w:val="009B5AFA"/>
    <w:rsid w:val="009B5D18"/>
    <w:rsid w:val="009B5F6D"/>
    <w:rsid w:val="009B6581"/>
    <w:rsid w:val="009B6606"/>
    <w:rsid w:val="009B6E8B"/>
    <w:rsid w:val="009B7641"/>
    <w:rsid w:val="009C0DA5"/>
    <w:rsid w:val="009C0EB9"/>
    <w:rsid w:val="009C1615"/>
    <w:rsid w:val="009C1795"/>
    <w:rsid w:val="009C2502"/>
    <w:rsid w:val="009C2911"/>
    <w:rsid w:val="009C2A20"/>
    <w:rsid w:val="009C326D"/>
    <w:rsid w:val="009C3A9E"/>
    <w:rsid w:val="009C3BA4"/>
    <w:rsid w:val="009C3BE3"/>
    <w:rsid w:val="009C3E8C"/>
    <w:rsid w:val="009C40BF"/>
    <w:rsid w:val="009C4160"/>
    <w:rsid w:val="009C41AB"/>
    <w:rsid w:val="009C445D"/>
    <w:rsid w:val="009C45CC"/>
    <w:rsid w:val="009C4948"/>
    <w:rsid w:val="009C4A6A"/>
    <w:rsid w:val="009C504F"/>
    <w:rsid w:val="009C50A5"/>
    <w:rsid w:val="009C5434"/>
    <w:rsid w:val="009C54DE"/>
    <w:rsid w:val="009C5DFC"/>
    <w:rsid w:val="009C5F91"/>
    <w:rsid w:val="009C657D"/>
    <w:rsid w:val="009C68FF"/>
    <w:rsid w:val="009C77EA"/>
    <w:rsid w:val="009C78D9"/>
    <w:rsid w:val="009C7E5F"/>
    <w:rsid w:val="009C7EE2"/>
    <w:rsid w:val="009D0587"/>
    <w:rsid w:val="009D0751"/>
    <w:rsid w:val="009D0A80"/>
    <w:rsid w:val="009D1ADF"/>
    <w:rsid w:val="009D2B96"/>
    <w:rsid w:val="009D2BE7"/>
    <w:rsid w:val="009D39F6"/>
    <w:rsid w:val="009D3A42"/>
    <w:rsid w:val="009D450B"/>
    <w:rsid w:val="009D4871"/>
    <w:rsid w:val="009D49F6"/>
    <w:rsid w:val="009D4BF9"/>
    <w:rsid w:val="009D52E4"/>
    <w:rsid w:val="009D5380"/>
    <w:rsid w:val="009D5479"/>
    <w:rsid w:val="009D55F0"/>
    <w:rsid w:val="009D6903"/>
    <w:rsid w:val="009D698E"/>
    <w:rsid w:val="009D6D29"/>
    <w:rsid w:val="009D7750"/>
    <w:rsid w:val="009D78EC"/>
    <w:rsid w:val="009D7988"/>
    <w:rsid w:val="009D7C53"/>
    <w:rsid w:val="009E0872"/>
    <w:rsid w:val="009E0BAA"/>
    <w:rsid w:val="009E0CF5"/>
    <w:rsid w:val="009E130D"/>
    <w:rsid w:val="009E1469"/>
    <w:rsid w:val="009E14E2"/>
    <w:rsid w:val="009E1BC2"/>
    <w:rsid w:val="009E1E55"/>
    <w:rsid w:val="009E1E7F"/>
    <w:rsid w:val="009E20B5"/>
    <w:rsid w:val="009E22D5"/>
    <w:rsid w:val="009E285F"/>
    <w:rsid w:val="009E3163"/>
    <w:rsid w:val="009E38DC"/>
    <w:rsid w:val="009E3BAE"/>
    <w:rsid w:val="009E3E21"/>
    <w:rsid w:val="009E3E9F"/>
    <w:rsid w:val="009E3F08"/>
    <w:rsid w:val="009E42B9"/>
    <w:rsid w:val="009E47E5"/>
    <w:rsid w:val="009E4A33"/>
    <w:rsid w:val="009E57B2"/>
    <w:rsid w:val="009E613F"/>
    <w:rsid w:val="009E642E"/>
    <w:rsid w:val="009E65D0"/>
    <w:rsid w:val="009E6630"/>
    <w:rsid w:val="009E694A"/>
    <w:rsid w:val="009E69D2"/>
    <w:rsid w:val="009E70E9"/>
    <w:rsid w:val="009E711E"/>
    <w:rsid w:val="009E7294"/>
    <w:rsid w:val="009E755A"/>
    <w:rsid w:val="009E786F"/>
    <w:rsid w:val="009F0EBD"/>
    <w:rsid w:val="009F139B"/>
    <w:rsid w:val="009F14D0"/>
    <w:rsid w:val="009F1D99"/>
    <w:rsid w:val="009F1E66"/>
    <w:rsid w:val="009F20BC"/>
    <w:rsid w:val="009F25FA"/>
    <w:rsid w:val="009F34A6"/>
    <w:rsid w:val="009F4190"/>
    <w:rsid w:val="009F4ABA"/>
    <w:rsid w:val="009F4F61"/>
    <w:rsid w:val="009F5045"/>
    <w:rsid w:val="009F508C"/>
    <w:rsid w:val="009F52DC"/>
    <w:rsid w:val="009F584D"/>
    <w:rsid w:val="009F5A29"/>
    <w:rsid w:val="009F5ABB"/>
    <w:rsid w:val="009F5AF0"/>
    <w:rsid w:val="009F63D8"/>
    <w:rsid w:val="009F64F6"/>
    <w:rsid w:val="009F67F6"/>
    <w:rsid w:val="009F6DDD"/>
    <w:rsid w:val="009F6FA2"/>
    <w:rsid w:val="009F75FA"/>
    <w:rsid w:val="009F76EB"/>
    <w:rsid w:val="00A005EB"/>
    <w:rsid w:val="00A00688"/>
    <w:rsid w:val="00A00BA0"/>
    <w:rsid w:val="00A01CD3"/>
    <w:rsid w:val="00A01E77"/>
    <w:rsid w:val="00A02502"/>
    <w:rsid w:val="00A0277A"/>
    <w:rsid w:val="00A029AC"/>
    <w:rsid w:val="00A029F9"/>
    <w:rsid w:val="00A02B12"/>
    <w:rsid w:val="00A03C02"/>
    <w:rsid w:val="00A03DA7"/>
    <w:rsid w:val="00A03E3E"/>
    <w:rsid w:val="00A03E5A"/>
    <w:rsid w:val="00A0408C"/>
    <w:rsid w:val="00A04462"/>
    <w:rsid w:val="00A0449F"/>
    <w:rsid w:val="00A04751"/>
    <w:rsid w:val="00A0479A"/>
    <w:rsid w:val="00A0487A"/>
    <w:rsid w:val="00A04EDD"/>
    <w:rsid w:val="00A0527A"/>
    <w:rsid w:val="00A052CD"/>
    <w:rsid w:val="00A06047"/>
    <w:rsid w:val="00A0612E"/>
    <w:rsid w:val="00A06880"/>
    <w:rsid w:val="00A0695B"/>
    <w:rsid w:val="00A06DE1"/>
    <w:rsid w:val="00A0741A"/>
    <w:rsid w:val="00A0751C"/>
    <w:rsid w:val="00A07CC3"/>
    <w:rsid w:val="00A07CE8"/>
    <w:rsid w:val="00A1119A"/>
    <w:rsid w:val="00A1149C"/>
    <w:rsid w:val="00A117AD"/>
    <w:rsid w:val="00A11CCE"/>
    <w:rsid w:val="00A12154"/>
    <w:rsid w:val="00A121E2"/>
    <w:rsid w:val="00A12653"/>
    <w:rsid w:val="00A128AF"/>
    <w:rsid w:val="00A1318A"/>
    <w:rsid w:val="00A1353D"/>
    <w:rsid w:val="00A137B7"/>
    <w:rsid w:val="00A15062"/>
    <w:rsid w:val="00A154F2"/>
    <w:rsid w:val="00A155B7"/>
    <w:rsid w:val="00A161A0"/>
    <w:rsid w:val="00A1624C"/>
    <w:rsid w:val="00A1707B"/>
    <w:rsid w:val="00A17359"/>
    <w:rsid w:val="00A17546"/>
    <w:rsid w:val="00A175B0"/>
    <w:rsid w:val="00A17619"/>
    <w:rsid w:val="00A176FE"/>
    <w:rsid w:val="00A1772F"/>
    <w:rsid w:val="00A17A76"/>
    <w:rsid w:val="00A17DFE"/>
    <w:rsid w:val="00A17E2D"/>
    <w:rsid w:val="00A205CC"/>
    <w:rsid w:val="00A208AA"/>
    <w:rsid w:val="00A2093E"/>
    <w:rsid w:val="00A20AA8"/>
    <w:rsid w:val="00A20C0E"/>
    <w:rsid w:val="00A20FED"/>
    <w:rsid w:val="00A22103"/>
    <w:rsid w:val="00A2258E"/>
    <w:rsid w:val="00A227D2"/>
    <w:rsid w:val="00A2299F"/>
    <w:rsid w:val="00A229F3"/>
    <w:rsid w:val="00A22B4D"/>
    <w:rsid w:val="00A23147"/>
    <w:rsid w:val="00A2329A"/>
    <w:rsid w:val="00A233FB"/>
    <w:rsid w:val="00A23C64"/>
    <w:rsid w:val="00A23D3F"/>
    <w:rsid w:val="00A23E9A"/>
    <w:rsid w:val="00A241AA"/>
    <w:rsid w:val="00A241C8"/>
    <w:rsid w:val="00A2450F"/>
    <w:rsid w:val="00A245F8"/>
    <w:rsid w:val="00A247C7"/>
    <w:rsid w:val="00A24E69"/>
    <w:rsid w:val="00A25033"/>
    <w:rsid w:val="00A259A8"/>
    <w:rsid w:val="00A25CEF"/>
    <w:rsid w:val="00A26001"/>
    <w:rsid w:val="00A263AD"/>
    <w:rsid w:val="00A265DB"/>
    <w:rsid w:val="00A26B82"/>
    <w:rsid w:val="00A26DC8"/>
    <w:rsid w:val="00A26E8B"/>
    <w:rsid w:val="00A26EDD"/>
    <w:rsid w:val="00A274D7"/>
    <w:rsid w:val="00A27569"/>
    <w:rsid w:val="00A27DC9"/>
    <w:rsid w:val="00A30176"/>
    <w:rsid w:val="00A302E2"/>
    <w:rsid w:val="00A306C6"/>
    <w:rsid w:val="00A309FB"/>
    <w:rsid w:val="00A30AF9"/>
    <w:rsid w:val="00A30CE7"/>
    <w:rsid w:val="00A30EF4"/>
    <w:rsid w:val="00A316C6"/>
    <w:rsid w:val="00A3192D"/>
    <w:rsid w:val="00A31B50"/>
    <w:rsid w:val="00A32453"/>
    <w:rsid w:val="00A333D1"/>
    <w:rsid w:val="00A334EA"/>
    <w:rsid w:val="00A33972"/>
    <w:rsid w:val="00A3419A"/>
    <w:rsid w:val="00A34445"/>
    <w:rsid w:val="00A347C7"/>
    <w:rsid w:val="00A3520C"/>
    <w:rsid w:val="00A357AF"/>
    <w:rsid w:val="00A35A4C"/>
    <w:rsid w:val="00A3681C"/>
    <w:rsid w:val="00A3759F"/>
    <w:rsid w:val="00A378E7"/>
    <w:rsid w:val="00A37DC7"/>
    <w:rsid w:val="00A40173"/>
    <w:rsid w:val="00A40848"/>
    <w:rsid w:val="00A41061"/>
    <w:rsid w:val="00A4166C"/>
    <w:rsid w:val="00A41DCD"/>
    <w:rsid w:val="00A425F7"/>
    <w:rsid w:val="00A428AF"/>
    <w:rsid w:val="00A42AA9"/>
    <w:rsid w:val="00A42CFA"/>
    <w:rsid w:val="00A42D26"/>
    <w:rsid w:val="00A42EC3"/>
    <w:rsid w:val="00A43673"/>
    <w:rsid w:val="00A439BA"/>
    <w:rsid w:val="00A44234"/>
    <w:rsid w:val="00A442F3"/>
    <w:rsid w:val="00A44953"/>
    <w:rsid w:val="00A44E65"/>
    <w:rsid w:val="00A4517D"/>
    <w:rsid w:val="00A45388"/>
    <w:rsid w:val="00A458B9"/>
    <w:rsid w:val="00A45EB7"/>
    <w:rsid w:val="00A463A5"/>
    <w:rsid w:val="00A46B49"/>
    <w:rsid w:val="00A46FAF"/>
    <w:rsid w:val="00A47677"/>
    <w:rsid w:val="00A47EEC"/>
    <w:rsid w:val="00A50908"/>
    <w:rsid w:val="00A51872"/>
    <w:rsid w:val="00A51A05"/>
    <w:rsid w:val="00A51FB3"/>
    <w:rsid w:val="00A52658"/>
    <w:rsid w:val="00A5279C"/>
    <w:rsid w:val="00A52FE5"/>
    <w:rsid w:val="00A53192"/>
    <w:rsid w:val="00A53501"/>
    <w:rsid w:val="00A5362D"/>
    <w:rsid w:val="00A53C77"/>
    <w:rsid w:val="00A53CFD"/>
    <w:rsid w:val="00A53E78"/>
    <w:rsid w:val="00A5418C"/>
    <w:rsid w:val="00A54B81"/>
    <w:rsid w:val="00A54B99"/>
    <w:rsid w:val="00A5517B"/>
    <w:rsid w:val="00A55591"/>
    <w:rsid w:val="00A55901"/>
    <w:rsid w:val="00A55D2B"/>
    <w:rsid w:val="00A56262"/>
    <w:rsid w:val="00A56275"/>
    <w:rsid w:val="00A5638E"/>
    <w:rsid w:val="00A56569"/>
    <w:rsid w:val="00A56639"/>
    <w:rsid w:val="00A5689D"/>
    <w:rsid w:val="00A56F47"/>
    <w:rsid w:val="00A56F83"/>
    <w:rsid w:val="00A5736B"/>
    <w:rsid w:val="00A57627"/>
    <w:rsid w:val="00A57638"/>
    <w:rsid w:val="00A576B1"/>
    <w:rsid w:val="00A57877"/>
    <w:rsid w:val="00A57ADF"/>
    <w:rsid w:val="00A57B5C"/>
    <w:rsid w:val="00A57F32"/>
    <w:rsid w:val="00A57F48"/>
    <w:rsid w:val="00A57F97"/>
    <w:rsid w:val="00A60A2C"/>
    <w:rsid w:val="00A60ACB"/>
    <w:rsid w:val="00A61408"/>
    <w:rsid w:val="00A61E08"/>
    <w:rsid w:val="00A62EC0"/>
    <w:rsid w:val="00A6363C"/>
    <w:rsid w:val="00A636B6"/>
    <w:rsid w:val="00A63722"/>
    <w:rsid w:val="00A643F8"/>
    <w:rsid w:val="00A64501"/>
    <w:rsid w:val="00A6524E"/>
    <w:rsid w:val="00A6539C"/>
    <w:rsid w:val="00A655B6"/>
    <w:rsid w:val="00A657D9"/>
    <w:rsid w:val="00A658CA"/>
    <w:rsid w:val="00A6683C"/>
    <w:rsid w:val="00A67644"/>
    <w:rsid w:val="00A67726"/>
    <w:rsid w:val="00A6791F"/>
    <w:rsid w:val="00A67BEC"/>
    <w:rsid w:val="00A70098"/>
    <w:rsid w:val="00A707EF"/>
    <w:rsid w:val="00A70E36"/>
    <w:rsid w:val="00A71AB0"/>
    <w:rsid w:val="00A71F4A"/>
    <w:rsid w:val="00A72C58"/>
    <w:rsid w:val="00A72D79"/>
    <w:rsid w:val="00A72DBB"/>
    <w:rsid w:val="00A73C29"/>
    <w:rsid w:val="00A74001"/>
    <w:rsid w:val="00A7430D"/>
    <w:rsid w:val="00A743A2"/>
    <w:rsid w:val="00A747D3"/>
    <w:rsid w:val="00A74BAF"/>
    <w:rsid w:val="00A75533"/>
    <w:rsid w:val="00A75658"/>
    <w:rsid w:val="00A75F77"/>
    <w:rsid w:val="00A7642D"/>
    <w:rsid w:val="00A766D3"/>
    <w:rsid w:val="00A767D4"/>
    <w:rsid w:val="00A76B1A"/>
    <w:rsid w:val="00A77B9A"/>
    <w:rsid w:val="00A77BD8"/>
    <w:rsid w:val="00A80D65"/>
    <w:rsid w:val="00A812A8"/>
    <w:rsid w:val="00A81C3E"/>
    <w:rsid w:val="00A82034"/>
    <w:rsid w:val="00A8234D"/>
    <w:rsid w:val="00A8250F"/>
    <w:rsid w:val="00A82F9D"/>
    <w:rsid w:val="00A830C1"/>
    <w:rsid w:val="00A833F9"/>
    <w:rsid w:val="00A84958"/>
    <w:rsid w:val="00A84D01"/>
    <w:rsid w:val="00A855C6"/>
    <w:rsid w:val="00A85B95"/>
    <w:rsid w:val="00A8639C"/>
    <w:rsid w:val="00A868E4"/>
    <w:rsid w:val="00A869BF"/>
    <w:rsid w:val="00A86B48"/>
    <w:rsid w:val="00A870E5"/>
    <w:rsid w:val="00A87423"/>
    <w:rsid w:val="00A90476"/>
    <w:rsid w:val="00A9058C"/>
    <w:rsid w:val="00A90C08"/>
    <w:rsid w:val="00A912B3"/>
    <w:rsid w:val="00A912DB"/>
    <w:rsid w:val="00A923D8"/>
    <w:rsid w:val="00A93294"/>
    <w:rsid w:val="00A932C1"/>
    <w:rsid w:val="00A934C6"/>
    <w:rsid w:val="00A93862"/>
    <w:rsid w:val="00A93E7E"/>
    <w:rsid w:val="00A93F77"/>
    <w:rsid w:val="00A94862"/>
    <w:rsid w:val="00A95B5D"/>
    <w:rsid w:val="00A95CD1"/>
    <w:rsid w:val="00A95E1D"/>
    <w:rsid w:val="00A95FC8"/>
    <w:rsid w:val="00A96B9D"/>
    <w:rsid w:val="00A96DA1"/>
    <w:rsid w:val="00A97CBE"/>
    <w:rsid w:val="00AA077D"/>
    <w:rsid w:val="00AA1A7D"/>
    <w:rsid w:val="00AA1EA9"/>
    <w:rsid w:val="00AA20E3"/>
    <w:rsid w:val="00AA2296"/>
    <w:rsid w:val="00AA238F"/>
    <w:rsid w:val="00AA23C2"/>
    <w:rsid w:val="00AA23C8"/>
    <w:rsid w:val="00AA255D"/>
    <w:rsid w:val="00AA3343"/>
    <w:rsid w:val="00AA38A8"/>
    <w:rsid w:val="00AA3E8B"/>
    <w:rsid w:val="00AA46E5"/>
    <w:rsid w:val="00AA4B1C"/>
    <w:rsid w:val="00AA5035"/>
    <w:rsid w:val="00AA52AE"/>
    <w:rsid w:val="00AA6EDE"/>
    <w:rsid w:val="00AA74F7"/>
    <w:rsid w:val="00AA758C"/>
    <w:rsid w:val="00AB09B9"/>
    <w:rsid w:val="00AB09BF"/>
    <w:rsid w:val="00AB10BA"/>
    <w:rsid w:val="00AB12C4"/>
    <w:rsid w:val="00AB1515"/>
    <w:rsid w:val="00AB1821"/>
    <w:rsid w:val="00AB1890"/>
    <w:rsid w:val="00AB1B6B"/>
    <w:rsid w:val="00AB1FFD"/>
    <w:rsid w:val="00AB2185"/>
    <w:rsid w:val="00AB31B8"/>
    <w:rsid w:val="00AB352F"/>
    <w:rsid w:val="00AB3E3B"/>
    <w:rsid w:val="00AB46B1"/>
    <w:rsid w:val="00AB47F4"/>
    <w:rsid w:val="00AB4892"/>
    <w:rsid w:val="00AB4D8D"/>
    <w:rsid w:val="00AB5503"/>
    <w:rsid w:val="00AB5706"/>
    <w:rsid w:val="00AB589B"/>
    <w:rsid w:val="00AB58F2"/>
    <w:rsid w:val="00AB5C07"/>
    <w:rsid w:val="00AB6290"/>
    <w:rsid w:val="00AB65F6"/>
    <w:rsid w:val="00AB6796"/>
    <w:rsid w:val="00AB6AD7"/>
    <w:rsid w:val="00AB7282"/>
    <w:rsid w:val="00AB7295"/>
    <w:rsid w:val="00AB7332"/>
    <w:rsid w:val="00AB784B"/>
    <w:rsid w:val="00AB7B63"/>
    <w:rsid w:val="00AC03CD"/>
    <w:rsid w:val="00AC0BD6"/>
    <w:rsid w:val="00AC0DA8"/>
    <w:rsid w:val="00AC0F53"/>
    <w:rsid w:val="00AC0FDC"/>
    <w:rsid w:val="00AC1C84"/>
    <w:rsid w:val="00AC2637"/>
    <w:rsid w:val="00AC3D1F"/>
    <w:rsid w:val="00AC3E7A"/>
    <w:rsid w:val="00AC4129"/>
    <w:rsid w:val="00AC4645"/>
    <w:rsid w:val="00AC4968"/>
    <w:rsid w:val="00AC4E63"/>
    <w:rsid w:val="00AC502E"/>
    <w:rsid w:val="00AC5854"/>
    <w:rsid w:val="00AC64FB"/>
    <w:rsid w:val="00AC6BF3"/>
    <w:rsid w:val="00AC6E16"/>
    <w:rsid w:val="00AC787A"/>
    <w:rsid w:val="00AC78D7"/>
    <w:rsid w:val="00AD0AB3"/>
    <w:rsid w:val="00AD0B20"/>
    <w:rsid w:val="00AD0E0D"/>
    <w:rsid w:val="00AD1300"/>
    <w:rsid w:val="00AD157F"/>
    <w:rsid w:val="00AD15BA"/>
    <w:rsid w:val="00AD194E"/>
    <w:rsid w:val="00AD1FB7"/>
    <w:rsid w:val="00AD2085"/>
    <w:rsid w:val="00AD21CD"/>
    <w:rsid w:val="00AD2B14"/>
    <w:rsid w:val="00AD2DC2"/>
    <w:rsid w:val="00AD3FE5"/>
    <w:rsid w:val="00AD4081"/>
    <w:rsid w:val="00AD4475"/>
    <w:rsid w:val="00AD474C"/>
    <w:rsid w:val="00AD4D8A"/>
    <w:rsid w:val="00AD53EA"/>
    <w:rsid w:val="00AD59F4"/>
    <w:rsid w:val="00AD6637"/>
    <w:rsid w:val="00AD74F8"/>
    <w:rsid w:val="00AD781E"/>
    <w:rsid w:val="00AD7936"/>
    <w:rsid w:val="00AE0A64"/>
    <w:rsid w:val="00AE0DB2"/>
    <w:rsid w:val="00AE103B"/>
    <w:rsid w:val="00AE125E"/>
    <w:rsid w:val="00AE13B3"/>
    <w:rsid w:val="00AE19A2"/>
    <w:rsid w:val="00AE1C83"/>
    <w:rsid w:val="00AE20A4"/>
    <w:rsid w:val="00AE2CBC"/>
    <w:rsid w:val="00AE33A4"/>
    <w:rsid w:val="00AE3EC2"/>
    <w:rsid w:val="00AE4215"/>
    <w:rsid w:val="00AE458D"/>
    <w:rsid w:val="00AE47F1"/>
    <w:rsid w:val="00AE48DA"/>
    <w:rsid w:val="00AE4C75"/>
    <w:rsid w:val="00AE4C83"/>
    <w:rsid w:val="00AE4F53"/>
    <w:rsid w:val="00AE539B"/>
    <w:rsid w:val="00AE5E21"/>
    <w:rsid w:val="00AE5E74"/>
    <w:rsid w:val="00AE607B"/>
    <w:rsid w:val="00AE623F"/>
    <w:rsid w:val="00AE654B"/>
    <w:rsid w:val="00AE6AAB"/>
    <w:rsid w:val="00AE7131"/>
    <w:rsid w:val="00AE75A4"/>
    <w:rsid w:val="00AE7901"/>
    <w:rsid w:val="00AE7A51"/>
    <w:rsid w:val="00AE7B68"/>
    <w:rsid w:val="00AE7EC4"/>
    <w:rsid w:val="00AF023B"/>
    <w:rsid w:val="00AF0319"/>
    <w:rsid w:val="00AF082D"/>
    <w:rsid w:val="00AF08B7"/>
    <w:rsid w:val="00AF0900"/>
    <w:rsid w:val="00AF0A8D"/>
    <w:rsid w:val="00AF0DB2"/>
    <w:rsid w:val="00AF1408"/>
    <w:rsid w:val="00AF179F"/>
    <w:rsid w:val="00AF1B68"/>
    <w:rsid w:val="00AF1D01"/>
    <w:rsid w:val="00AF1D43"/>
    <w:rsid w:val="00AF1D4A"/>
    <w:rsid w:val="00AF1EB5"/>
    <w:rsid w:val="00AF2026"/>
    <w:rsid w:val="00AF22E6"/>
    <w:rsid w:val="00AF2759"/>
    <w:rsid w:val="00AF2F00"/>
    <w:rsid w:val="00AF342A"/>
    <w:rsid w:val="00AF343B"/>
    <w:rsid w:val="00AF34B8"/>
    <w:rsid w:val="00AF3647"/>
    <w:rsid w:val="00AF39B2"/>
    <w:rsid w:val="00AF3B12"/>
    <w:rsid w:val="00AF4225"/>
    <w:rsid w:val="00AF451D"/>
    <w:rsid w:val="00AF4F5C"/>
    <w:rsid w:val="00AF502F"/>
    <w:rsid w:val="00AF50F4"/>
    <w:rsid w:val="00AF53D1"/>
    <w:rsid w:val="00AF5650"/>
    <w:rsid w:val="00AF5C43"/>
    <w:rsid w:val="00AF5D69"/>
    <w:rsid w:val="00AF6FF4"/>
    <w:rsid w:val="00AF7070"/>
    <w:rsid w:val="00AF7142"/>
    <w:rsid w:val="00AF784B"/>
    <w:rsid w:val="00B0040D"/>
    <w:rsid w:val="00B01A34"/>
    <w:rsid w:val="00B01D23"/>
    <w:rsid w:val="00B02197"/>
    <w:rsid w:val="00B02213"/>
    <w:rsid w:val="00B02406"/>
    <w:rsid w:val="00B02486"/>
    <w:rsid w:val="00B02502"/>
    <w:rsid w:val="00B0277A"/>
    <w:rsid w:val="00B03077"/>
    <w:rsid w:val="00B0312A"/>
    <w:rsid w:val="00B0361B"/>
    <w:rsid w:val="00B0364A"/>
    <w:rsid w:val="00B03983"/>
    <w:rsid w:val="00B03EFE"/>
    <w:rsid w:val="00B03F4F"/>
    <w:rsid w:val="00B03FE2"/>
    <w:rsid w:val="00B045A3"/>
    <w:rsid w:val="00B04A91"/>
    <w:rsid w:val="00B04C57"/>
    <w:rsid w:val="00B04DDA"/>
    <w:rsid w:val="00B04DFF"/>
    <w:rsid w:val="00B04E59"/>
    <w:rsid w:val="00B04FA8"/>
    <w:rsid w:val="00B05080"/>
    <w:rsid w:val="00B05123"/>
    <w:rsid w:val="00B053EC"/>
    <w:rsid w:val="00B059AA"/>
    <w:rsid w:val="00B05B08"/>
    <w:rsid w:val="00B05DD2"/>
    <w:rsid w:val="00B05F9E"/>
    <w:rsid w:val="00B062DA"/>
    <w:rsid w:val="00B063B6"/>
    <w:rsid w:val="00B064DC"/>
    <w:rsid w:val="00B06825"/>
    <w:rsid w:val="00B06842"/>
    <w:rsid w:val="00B06A3D"/>
    <w:rsid w:val="00B06EC2"/>
    <w:rsid w:val="00B06FB4"/>
    <w:rsid w:val="00B0700D"/>
    <w:rsid w:val="00B073F0"/>
    <w:rsid w:val="00B07635"/>
    <w:rsid w:val="00B07676"/>
    <w:rsid w:val="00B07EFF"/>
    <w:rsid w:val="00B1040B"/>
    <w:rsid w:val="00B12686"/>
    <w:rsid w:val="00B1291E"/>
    <w:rsid w:val="00B12952"/>
    <w:rsid w:val="00B131A6"/>
    <w:rsid w:val="00B1378A"/>
    <w:rsid w:val="00B138F1"/>
    <w:rsid w:val="00B13C45"/>
    <w:rsid w:val="00B13D53"/>
    <w:rsid w:val="00B140E5"/>
    <w:rsid w:val="00B145FE"/>
    <w:rsid w:val="00B14B42"/>
    <w:rsid w:val="00B14D52"/>
    <w:rsid w:val="00B151D9"/>
    <w:rsid w:val="00B152C1"/>
    <w:rsid w:val="00B15B18"/>
    <w:rsid w:val="00B15C7A"/>
    <w:rsid w:val="00B15E8C"/>
    <w:rsid w:val="00B1635F"/>
    <w:rsid w:val="00B16AF7"/>
    <w:rsid w:val="00B170FA"/>
    <w:rsid w:val="00B17171"/>
    <w:rsid w:val="00B17B1E"/>
    <w:rsid w:val="00B17B7E"/>
    <w:rsid w:val="00B202B5"/>
    <w:rsid w:val="00B20979"/>
    <w:rsid w:val="00B20A82"/>
    <w:rsid w:val="00B20DDB"/>
    <w:rsid w:val="00B20FB9"/>
    <w:rsid w:val="00B20FC3"/>
    <w:rsid w:val="00B2194B"/>
    <w:rsid w:val="00B223E7"/>
    <w:rsid w:val="00B22B06"/>
    <w:rsid w:val="00B22BE0"/>
    <w:rsid w:val="00B23054"/>
    <w:rsid w:val="00B23253"/>
    <w:rsid w:val="00B238BC"/>
    <w:rsid w:val="00B23C68"/>
    <w:rsid w:val="00B23FA3"/>
    <w:rsid w:val="00B246D8"/>
    <w:rsid w:val="00B24999"/>
    <w:rsid w:val="00B24A33"/>
    <w:rsid w:val="00B25133"/>
    <w:rsid w:val="00B255E0"/>
    <w:rsid w:val="00B2562A"/>
    <w:rsid w:val="00B25A62"/>
    <w:rsid w:val="00B25AFB"/>
    <w:rsid w:val="00B25C21"/>
    <w:rsid w:val="00B25FE7"/>
    <w:rsid w:val="00B266AB"/>
    <w:rsid w:val="00B267C3"/>
    <w:rsid w:val="00B2681C"/>
    <w:rsid w:val="00B26D61"/>
    <w:rsid w:val="00B2714E"/>
    <w:rsid w:val="00B275EF"/>
    <w:rsid w:val="00B27897"/>
    <w:rsid w:val="00B2798D"/>
    <w:rsid w:val="00B30B79"/>
    <w:rsid w:val="00B30C81"/>
    <w:rsid w:val="00B30D00"/>
    <w:rsid w:val="00B30EBE"/>
    <w:rsid w:val="00B314AF"/>
    <w:rsid w:val="00B317E0"/>
    <w:rsid w:val="00B320B6"/>
    <w:rsid w:val="00B322AB"/>
    <w:rsid w:val="00B3248C"/>
    <w:rsid w:val="00B32702"/>
    <w:rsid w:val="00B32AEA"/>
    <w:rsid w:val="00B32AF2"/>
    <w:rsid w:val="00B338ED"/>
    <w:rsid w:val="00B33981"/>
    <w:rsid w:val="00B33F70"/>
    <w:rsid w:val="00B34031"/>
    <w:rsid w:val="00B34457"/>
    <w:rsid w:val="00B344B2"/>
    <w:rsid w:val="00B34988"/>
    <w:rsid w:val="00B361F9"/>
    <w:rsid w:val="00B361FA"/>
    <w:rsid w:val="00B369D1"/>
    <w:rsid w:val="00B36B26"/>
    <w:rsid w:val="00B37415"/>
    <w:rsid w:val="00B37437"/>
    <w:rsid w:val="00B37837"/>
    <w:rsid w:val="00B37D37"/>
    <w:rsid w:val="00B37EA5"/>
    <w:rsid w:val="00B40E6C"/>
    <w:rsid w:val="00B410E7"/>
    <w:rsid w:val="00B41524"/>
    <w:rsid w:val="00B41621"/>
    <w:rsid w:val="00B4186A"/>
    <w:rsid w:val="00B41B7B"/>
    <w:rsid w:val="00B4215F"/>
    <w:rsid w:val="00B42580"/>
    <w:rsid w:val="00B426EF"/>
    <w:rsid w:val="00B429FD"/>
    <w:rsid w:val="00B4314E"/>
    <w:rsid w:val="00B434AA"/>
    <w:rsid w:val="00B43587"/>
    <w:rsid w:val="00B43684"/>
    <w:rsid w:val="00B43B8D"/>
    <w:rsid w:val="00B43C98"/>
    <w:rsid w:val="00B4418F"/>
    <w:rsid w:val="00B441CF"/>
    <w:rsid w:val="00B44DEF"/>
    <w:rsid w:val="00B44DF9"/>
    <w:rsid w:val="00B4518E"/>
    <w:rsid w:val="00B4522B"/>
    <w:rsid w:val="00B45472"/>
    <w:rsid w:val="00B45699"/>
    <w:rsid w:val="00B46243"/>
    <w:rsid w:val="00B463EC"/>
    <w:rsid w:val="00B464E4"/>
    <w:rsid w:val="00B47154"/>
    <w:rsid w:val="00B47166"/>
    <w:rsid w:val="00B47246"/>
    <w:rsid w:val="00B47CFA"/>
    <w:rsid w:val="00B50500"/>
    <w:rsid w:val="00B506AE"/>
    <w:rsid w:val="00B50D0A"/>
    <w:rsid w:val="00B5136F"/>
    <w:rsid w:val="00B5147F"/>
    <w:rsid w:val="00B51FE4"/>
    <w:rsid w:val="00B52199"/>
    <w:rsid w:val="00B52619"/>
    <w:rsid w:val="00B527E1"/>
    <w:rsid w:val="00B52A21"/>
    <w:rsid w:val="00B52DB6"/>
    <w:rsid w:val="00B52E8B"/>
    <w:rsid w:val="00B53B68"/>
    <w:rsid w:val="00B54039"/>
    <w:rsid w:val="00B544B8"/>
    <w:rsid w:val="00B5464E"/>
    <w:rsid w:val="00B5483A"/>
    <w:rsid w:val="00B54CA3"/>
    <w:rsid w:val="00B55A5D"/>
    <w:rsid w:val="00B56057"/>
    <w:rsid w:val="00B562A6"/>
    <w:rsid w:val="00B566CD"/>
    <w:rsid w:val="00B5716E"/>
    <w:rsid w:val="00B573C5"/>
    <w:rsid w:val="00B57A7D"/>
    <w:rsid w:val="00B57DD8"/>
    <w:rsid w:val="00B60249"/>
    <w:rsid w:val="00B605E6"/>
    <w:rsid w:val="00B60D80"/>
    <w:rsid w:val="00B61515"/>
    <w:rsid w:val="00B61CB6"/>
    <w:rsid w:val="00B623BB"/>
    <w:rsid w:val="00B6256A"/>
    <w:rsid w:val="00B628C3"/>
    <w:rsid w:val="00B631E7"/>
    <w:rsid w:val="00B63988"/>
    <w:rsid w:val="00B63AC7"/>
    <w:rsid w:val="00B6431C"/>
    <w:rsid w:val="00B646F4"/>
    <w:rsid w:val="00B65217"/>
    <w:rsid w:val="00B654BD"/>
    <w:rsid w:val="00B66F6D"/>
    <w:rsid w:val="00B670A1"/>
    <w:rsid w:val="00B6716D"/>
    <w:rsid w:val="00B67813"/>
    <w:rsid w:val="00B67D87"/>
    <w:rsid w:val="00B67D9C"/>
    <w:rsid w:val="00B70008"/>
    <w:rsid w:val="00B702FE"/>
    <w:rsid w:val="00B7063F"/>
    <w:rsid w:val="00B7098F"/>
    <w:rsid w:val="00B70F31"/>
    <w:rsid w:val="00B71762"/>
    <w:rsid w:val="00B71E21"/>
    <w:rsid w:val="00B71EB9"/>
    <w:rsid w:val="00B71FE7"/>
    <w:rsid w:val="00B7210A"/>
    <w:rsid w:val="00B72CED"/>
    <w:rsid w:val="00B72E3C"/>
    <w:rsid w:val="00B72FD4"/>
    <w:rsid w:val="00B7362C"/>
    <w:rsid w:val="00B737D7"/>
    <w:rsid w:val="00B73AF8"/>
    <w:rsid w:val="00B73CC1"/>
    <w:rsid w:val="00B73FE1"/>
    <w:rsid w:val="00B74AB9"/>
    <w:rsid w:val="00B750CD"/>
    <w:rsid w:val="00B7548B"/>
    <w:rsid w:val="00B754A8"/>
    <w:rsid w:val="00B76C45"/>
    <w:rsid w:val="00B76EA6"/>
    <w:rsid w:val="00B76EEC"/>
    <w:rsid w:val="00B77093"/>
    <w:rsid w:val="00B77B43"/>
    <w:rsid w:val="00B77E22"/>
    <w:rsid w:val="00B80613"/>
    <w:rsid w:val="00B80A23"/>
    <w:rsid w:val="00B811F4"/>
    <w:rsid w:val="00B81602"/>
    <w:rsid w:val="00B81B6E"/>
    <w:rsid w:val="00B81C1A"/>
    <w:rsid w:val="00B81C46"/>
    <w:rsid w:val="00B81C53"/>
    <w:rsid w:val="00B81DCC"/>
    <w:rsid w:val="00B81FF9"/>
    <w:rsid w:val="00B821FB"/>
    <w:rsid w:val="00B823D4"/>
    <w:rsid w:val="00B825F8"/>
    <w:rsid w:val="00B8285C"/>
    <w:rsid w:val="00B83446"/>
    <w:rsid w:val="00B848B6"/>
    <w:rsid w:val="00B851B0"/>
    <w:rsid w:val="00B85B6E"/>
    <w:rsid w:val="00B8650D"/>
    <w:rsid w:val="00B86F17"/>
    <w:rsid w:val="00B86F7A"/>
    <w:rsid w:val="00B87E63"/>
    <w:rsid w:val="00B902E3"/>
    <w:rsid w:val="00B90441"/>
    <w:rsid w:val="00B907C2"/>
    <w:rsid w:val="00B913F0"/>
    <w:rsid w:val="00B919C9"/>
    <w:rsid w:val="00B91EA3"/>
    <w:rsid w:val="00B91FC8"/>
    <w:rsid w:val="00B9228A"/>
    <w:rsid w:val="00B92399"/>
    <w:rsid w:val="00B92527"/>
    <w:rsid w:val="00B9289E"/>
    <w:rsid w:val="00B93115"/>
    <w:rsid w:val="00B93309"/>
    <w:rsid w:val="00B9357C"/>
    <w:rsid w:val="00B94301"/>
    <w:rsid w:val="00B94627"/>
    <w:rsid w:val="00B9487A"/>
    <w:rsid w:val="00B9499D"/>
    <w:rsid w:val="00B94BB9"/>
    <w:rsid w:val="00B94DDD"/>
    <w:rsid w:val="00B95829"/>
    <w:rsid w:val="00B95CC3"/>
    <w:rsid w:val="00B961D8"/>
    <w:rsid w:val="00B96976"/>
    <w:rsid w:val="00B96ACC"/>
    <w:rsid w:val="00B9789E"/>
    <w:rsid w:val="00B97D4D"/>
    <w:rsid w:val="00B97DA4"/>
    <w:rsid w:val="00BA118B"/>
    <w:rsid w:val="00BA1467"/>
    <w:rsid w:val="00BA15F5"/>
    <w:rsid w:val="00BA1C09"/>
    <w:rsid w:val="00BA2411"/>
    <w:rsid w:val="00BA2724"/>
    <w:rsid w:val="00BA2907"/>
    <w:rsid w:val="00BA2D0A"/>
    <w:rsid w:val="00BA3138"/>
    <w:rsid w:val="00BA396F"/>
    <w:rsid w:val="00BA3D11"/>
    <w:rsid w:val="00BA3D86"/>
    <w:rsid w:val="00BA4013"/>
    <w:rsid w:val="00BA404B"/>
    <w:rsid w:val="00BA451C"/>
    <w:rsid w:val="00BA4AB5"/>
    <w:rsid w:val="00BA4B23"/>
    <w:rsid w:val="00BA53AA"/>
    <w:rsid w:val="00BA6022"/>
    <w:rsid w:val="00BA6370"/>
    <w:rsid w:val="00BA66C4"/>
    <w:rsid w:val="00BA6A10"/>
    <w:rsid w:val="00BA6E97"/>
    <w:rsid w:val="00BA700D"/>
    <w:rsid w:val="00BA727B"/>
    <w:rsid w:val="00BA76EE"/>
    <w:rsid w:val="00BA777B"/>
    <w:rsid w:val="00BA7797"/>
    <w:rsid w:val="00BA77B2"/>
    <w:rsid w:val="00BB0A15"/>
    <w:rsid w:val="00BB0DC2"/>
    <w:rsid w:val="00BB1069"/>
    <w:rsid w:val="00BB1233"/>
    <w:rsid w:val="00BB1B43"/>
    <w:rsid w:val="00BB1C9A"/>
    <w:rsid w:val="00BB1D0B"/>
    <w:rsid w:val="00BB1D61"/>
    <w:rsid w:val="00BB2295"/>
    <w:rsid w:val="00BB2597"/>
    <w:rsid w:val="00BB3B87"/>
    <w:rsid w:val="00BB4213"/>
    <w:rsid w:val="00BB4237"/>
    <w:rsid w:val="00BB4A28"/>
    <w:rsid w:val="00BB4F44"/>
    <w:rsid w:val="00BB53F4"/>
    <w:rsid w:val="00BB54AD"/>
    <w:rsid w:val="00BB5744"/>
    <w:rsid w:val="00BB61E9"/>
    <w:rsid w:val="00BB6335"/>
    <w:rsid w:val="00BB6867"/>
    <w:rsid w:val="00BB688D"/>
    <w:rsid w:val="00BB7219"/>
    <w:rsid w:val="00BB7478"/>
    <w:rsid w:val="00BB7482"/>
    <w:rsid w:val="00BB76C6"/>
    <w:rsid w:val="00BC0249"/>
    <w:rsid w:val="00BC0451"/>
    <w:rsid w:val="00BC1127"/>
    <w:rsid w:val="00BC1490"/>
    <w:rsid w:val="00BC23D7"/>
    <w:rsid w:val="00BC273E"/>
    <w:rsid w:val="00BC27D4"/>
    <w:rsid w:val="00BC29E6"/>
    <w:rsid w:val="00BC305A"/>
    <w:rsid w:val="00BC416D"/>
    <w:rsid w:val="00BC4F06"/>
    <w:rsid w:val="00BC5BFA"/>
    <w:rsid w:val="00BC6322"/>
    <w:rsid w:val="00BC63D2"/>
    <w:rsid w:val="00BC644E"/>
    <w:rsid w:val="00BC64FF"/>
    <w:rsid w:val="00BC6BBC"/>
    <w:rsid w:val="00BC70A6"/>
    <w:rsid w:val="00BC70B1"/>
    <w:rsid w:val="00BC754E"/>
    <w:rsid w:val="00BC77F4"/>
    <w:rsid w:val="00BC7AB1"/>
    <w:rsid w:val="00BC7DAE"/>
    <w:rsid w:val="00BC7F6D"/>
    <w:rsid w:val="00BC7F84"/>
    <w:rsid w:val="00BD011C"/>
    <w:rsid w:val="00BD024B"/>
    <w:rsid w:val="00BD09D8"/>
    <w:rsid w:val="00BD0C11"/>
    <w:rsid w:val="00BD0CDE"/>
    <w:rsid w:val="00BD0F54"/>
    <w:rsid w:val="00BD0FBF"/>
    <w:rsid w:val="00BD110E"/>
    <w:rsid w:val="00BD1367"/>
    <w:rsid w:val="00BD1449"/>
    <w:rsid w:val="00BD148D"/>
    <w:rsid w:val="00BD15B0"/>
    <w:rsid w:val="00BD2BC0"/>
    <w:rsid w:val="00BD318E"/>
    <w:rsid w:val="00BD3538"/>
    <w:rsid w:val="00BD3DEE"/>
    <w:rsid w:val="00BD42A9"/>
    <w:rsid w:val="00BD4C1C"/>
    <w:rsid w:val="00BD4EC2"/>
    <w:rsid w:val="00BD5270"/>
    <w:rsid w:val="00BD575B"/>
    <w:rsid w:val="00BD5799"/>
    <w:rsid w:val="00BD5CB0"/>
    <w:rsid w:val="00BD60D4"/>
    <w:rsid w:val="00BD60FF"/>
    <w:rsid w:val="00BD6191"/>
    <w:rsid w:val="00BD62D9"/>
    <w:rsid w:val="00BD6C95"/>
    <w:rsid w:val="00BD71DF"/>
    <w:rsid w:val="00BE00C2"/>
    <w:rsid w:val="00BE0205"/>
    <w:rsid w:val="00BE0206"/>
    <w:rsid w:val="00BE022B"/>
    <w:rsid w:val="00BE03E7"/>
    <w:rsid w:val="00BE055C"/>
    <w:rsid w:val="00BE06AF"/>
    <w:rsid w:val="00BE121E"/>
    <w:rsid w:val="00BE20F2"/>
    <w:rsid w:val="00BE296D"/>
    <w:rsid w:val="00BE2FA7"/>
    <w:rsid w:val="00BE3378"/>
    <w:rsid w:val="00BE397E"/>
    <w:rsid w:val="00BE408F"/>
    <w:rsid w:val="00BE44F5"/>
    <w:rsid w:val="00BE4B6C"/>
    <w:rsid w:val="00BE4FA2"/>
    <w:rsid w:val="00BE515E"/>
    <w:rsid w:val="00BE53D6"/>
    <w:rsid w:val="00BE58FD"/>
    <w:rsid w:val="00BE5A5C"/>
    <w:rsid w:val="00BE5B5D"/>
    <w:rsid w:val="00BE62FF"/>
    <w:rsid w:val="00BE65DE"/>
    <w:rsid w:val="00BE7314"/>
    <w:rsid w:val="00BE75E7"/>
    <w:rsid w:val="00BE7602"/>
    <w:rsid w:val="00BE782F"/>
    <w:rsid w:val="00BE784E"/>
    <w:rsid w:val="00BE7C01"/>
    <w:rsid w:val="00BF07C6"/>
    <w:rsid w:val="00BF07FC"/>
    <w:rsid w:val="00BF0C52"/>
    <w:rsid w:val="00BF0DFB"/>
    <w:rsid w:val="00BF0FE5"/>
    <w:rsid w:val="00BF17B1"/>
    <w:rsid w:val="00BF18F5"/>
    <w:rsid w:val="00BF2212"/>
    <w:rsid w:val="00BF2425"/>
    <w:rsid w:val="00BF2971"/>
    <w:rsid w:val="00BF3A25"/>
    <w:rsid w:val="00BF3A5B"/>
    <w:rsid w:val="00BF4546"/>
    <w:rsid w:val="00BF481C"/>
    <w:rsid w:val="00BF482B"/>
    <w:rsid w:val="00BF5015"/>
    <w:rsid w:val="00BF5161"/>
    <w:rsid w:val="00BF52B0"/>
    <w:rsid w:val="00BF53A7"/>
    <w:rsid w:val="00BF560F"/>
    <w:rsid w:val="00BF5B2E"/>
    <w:rsid w:val="00BF5ED7"/>
    <w:rsid w:val="00BF7104"/>
    <w:rsid w:val="00BF7460"/>
    <w:rsid w:val="00BF77AA"/>
    <w:rsid w:val="00BF7DDE"/>
    <w:rsid w:val="00C002E2"/>
    <w:rsid w:val="00C006BD"/>
    <w:rsid w:val="00C0080B"/>
    <w:rsid w:val="00C008A8"/>
    <w:rsid w:val="00C00DE0"/>
    <w:rsid w:val="00C01010"/>
    <w:rsid w:val="00C0102F"/>
    <w:rsid w:val="00C010BB"/>
    <w:rsid w:val="00C01A1E"/>
    <w:rsid w:val="00C01A82"/>
    <w:rsid w:val="00C01EBC"/>
    <w:rsid w:val="00C023C8"/>
    <w:rsid w:val="00C02A74"/>
    <w:rsid w:val="00C02F2C"/>
    <w:rsid w:val="00C0388D"/>
    <w:rsid w:val="00C03B28"/>
    <w:rsid w:val="00C03D60"/>
    <w:rsid w:val="00C03E25"/>
    <w:rsid w:val="00C03E33"/>
    <w:rsid w:val="00C03F41"/>
    <w:rsid w:val="00C040B8"/>
    <w:rsid w:val="00C040C2"/>
    <w:rsid w:val="00C04488"/>
    <w:rsid w:val="00C0469E"/>
    <w:rsid w:val="00C04EA1"/>
    <w:rsid w:val="00C05481"/>
    <w:rsid w:val="00C05F2C"/>
    <w:rsid w:val="00C06481"/>
    <w:rsid w:val="00C06A20"/>
    <w:rsid w:val="00C06D25"/>
    <w:rsid w:val="00C06F8C"/>
    <w:rsid w:val="00C07391"/>
    <w:rsid w:val="00C101EC"/>
    <w:rsid w:val="00C10AF1"/>
    <w:rsid w:val="00C10F15"/>
    <w:rsid w:val="00C11E8B"/>
    <w:rsid w:val="00C124FF"/>
    <w:rsid w:val="00C125BE"/>
    <w:rsid w:val="00C139B0"/>
    <w:rsid w:val="00C13F7E"/>
    <w:rsid w:val="00C14435"/>
    <w:rsid w:val="00C15766"/>
    <w:rsid w:val="00C1579F"/>
    <w:rsid w:val="00C15AC1"/>
    <w:rsid w:val="00C15E26"/>
    <w:rsid w:val="00C16DFA"/>
    <w:rsid w:val="00C16FB6"/>
    <w:rsid w:val="00C171CC"/>
    <w:rsid w:val="00C17657"/>
    <w:rsid w:val="00C17811"/>
    <w:rsid w:val="00C17AF4"/>
    <w:rsid w:val="00C17BC8"/>
    <w:rsid w:val="00C2026E"/>
    <w:rsid w:val="00C20A18"/>
    <w:rsid w:val="00C20F06"/>
    <w:rsid w:val="00C2118B"/>
    <w:rsid w:val="00C2151E"/>
    <w:rsid w:val="00C21713"/>
    <w:rsid w:val="00C21AF5"/>
    <w:rsid w:val="00C21BA5"/>
    <w:rsid w:val="00C21F88"/>
    <w:rsid w:val="00C224E3"/>
    <w:rsid w:val="00C2303B"/>
    <w:rsid w:val="00C2339B"/>
    <w:rsid w:val="00C23D06"/>
    <w:rsid w:val="00C240E7"/>
    <w:rsid w:val="00C24561"/>
    <w:rsid w:val="00C247B6"/>
    <w:rsid w:val="00C24A28"/>
    <w:rsid w:val="00C24F9F"/>
    <w:rsid w:val="00C25256"/>
    <w:rsid w:val="00C25776"/>
    <w:rsid w:val="00C258BF"/>
    <w:rsid w:val="00C2635F"/>
    <w:rsid w:val="00C26992"/>
    <w:rsid w:val="00C26A55"/>
    <w:rsid w:val="00C26DF1"/>
    <w:rsid w:val="00C27A76"/>
    <w:rsid w:val="00C27B1E"/>
    <w:rsid w:val="00C27B28"/>
    <w:rsid w:val="00C27B39"/>
    <w:rsid w:val="00C27CB8"/>
    <w:rsid w:val="00C30D2F"/>
    <w:rsid w:val="00C30E15"/>
    <w:rsid w:val="00C30E5F"/>
    <w:rsid w:val="00C3123B"/>
    <w:rsid w:val="00C317E6"/>
    <w:rsid w:val="00C31809"/>
    <w:rsid w:val="00C31D96"/>
    <w:rsid w:val="00C31DFB"/>
    <w:rsid w:val="00C31E74"/>
    <w:rsid w:val="00C31EAA"/>
    <w:rsid w:val="00C3217D"/>
    <w:rsid w:val="00C328C7"/>
    <w:rsid w:val="00C33010"/>
    <w:rsid w:val="00C332C8"/>
    <w:rsid w:val="00C336B9"/>
    <w:rsid w:val="00C33924"/>
    <w:rsid w:val="00C33BB3"/>
    <w:rsid w:val="00C34147"/>
    <w:rsid w:val="00C3428C"/>
    <w:rsid w:val="00C34646"/>
    <w:rsid w:val="00C34967"/>
    <w:rsid w:val="00C349B2"/>
    <w:rsid w:val="00C35357"/>
    <w:rsid w:val="00C35375"/>
    <w:rsid w:val="00C358E0"/>
    <w:rsid w:val="00C35FE3"/>
    <w:rsid w:val="00C36693"/>
    <w:rsid w:val="00C367B4"/>
    <w:rsid w:val="00C36F45"/>
    <w:rsid w:val="00C377ED"/>
    <w:rsid w:val="00C378E2"/>
    <w:rsid w:val="00C37B5D"/>
    <w:rsid w:val="00C40191"/>
    <w:rsid w:val="00C403E5"/>
    <w:rsid w:val="00C40CDB"/>
    <w:rsid w:val="00C41017"/>
    <w:rsid w:val="00C41A4E"/>
    <w:rsid w:val="00C41D09"/>
    <w:rsid w:val="00C41EE4"/>
    <w:rsid w:val="00C42081"/>
    <w:rsid w:val="00C432F7"/>
    <w:rsid w:val="00C43396"/>
    <w:rsid w:val="00C43CF7"/>
    <w:rsid w:val="00C444B0"/>
    <w:rsid w:val="00C447A9"/>
    <w:rsid w:val="00C4480B"/>
    <w:rsid w:val="00C44C15"/>
    <w:rsid w:val="00C45322"/>
    <w:rsid w:val="00C453C2"/>
    <w:rsid w:val="00C454A5"/>
    <w:rsid w:val="00C4559D"/>
    <w:rsid w:val="00C45C4F"/>
    <w:rsid w:val="00C467AA"/>
    <w:rsid w:val="00C467E3"/>
    <w:rsid w:val="00C46C01"/>
    <w:rsid w:val="00C46C0D"/>
    <w:rsid w:val="00C46CBA"/>
    <w:rsid w:val="00C46FCA"/>
    <w:rsid w:val="00C47513"/>
    <w:rsid w:val="00C47A48"/>
    <w:rsid w:val="00C47B3B"/>
    <w:rsid w:val="00C504F3"/>
    <w:rsid w:val="00C5093A"/>
    <w:rsid w:val="00C50B60"/>
    <w:rsid w:val="00C510C5"/>
    <w:rsid w:val="00C5192F"/>
    <w:rsid w:val="00C51D90"/>
    <w:rsid w:val="00C51DBA"/>
    <w:rsid w:val="00C51DFB"/>
    <w:rsid w:val="00C51EB1"/>
    <w:rsid w:val="00C52E98"/>
    <w:rsid w:val="00C5395B"/>
    <w:rsid w:val="00C53DC1"/>
    <w:rsid w:val="00C53EE4"/>
    <w:rsid w:val="00C5406B"/>
    <w:rsid w:val="00C540CE"/>
    <w:rsid w:val="00C545E1"/>
    <w:rsid w:val="00C5491D"/>
    <w:rsid w:val="00C54C75"/>
    <w:rsid w:val="00C55318"/>
    <w:rsid w:val="00C55339"/>
    <w:rsid w:val="00C55571"/>
    <w:rsid w:val="00C55B62"/>
    <w:rsid w:val="00C5672D"/>
    <w:rsid w:val="00C5686C"/>
    <w:rsid w:val="00C56FC7"/>
    <w:rsid w:val="00C57478"/>
    <w:rsid w:val="00C57C66"/>
    <w:rsid w:val="00C60047"/>
    <w:rsid w:val="00C6041D"/>
    <w:rsid w:val="00C60C97"/>
    <w:rsid w:val="00C61C8B"/>
    <w:rsid w:val="00C61F74"/>
    <w:rsid w:val="00C62B68"/>
    <w:rsid w:val="00C633EB"/>
    <w:rsid w:val="00C63926"/>
    <w:rsid w:val="00C63D1E"/>
    <w:rsid w:val="00C63E30"/>
    <w:rsid w:val="00C640D5"/>
    <w:rsid w:val="00C6472B"/>
    <w:rsid w:val="00C648A0"/>
    <w:rsid w:val="00C64F6A"/>
    <w:rsid w:val="00C650EF"/>
    <w:rsid w:val="00C656AB"/>
    <w:rsid w:val="00C659D4"/>
    <w:rsid w:val="00C65BBE"/>
    <w:rsid w:val="00C663C2"/>
    <w:rsid w:val="00C667CC"/>
    <w:rsid w:val="00C6687A"/>
    <w:rsid w:val="00C669F1"/>
    <w:rsid w:val="00C673A8"/>
    <w:rsid w:val="00C67983"/>
    <w:rsid w:val="00C67D1B"/>
    <w:rsid w:val="00C67D4A"/>
    <w:rsid w:val="00C7007C"/>
    <w:rsid w:val="00C70223"/>
    <w:rsid w:val="00C70536"/>
    <w:rsid w:val="00C70F53"/>
    <w:rsid w:val="00C71218"/>
    <w:rsid w:val="00C71E61"/>
    <w:rsid w:val="00C723B6"/>
    <w:rsid w:val="00C728ED"/>
    <w:rsid w:val="00C72AA5"/>
    <w:rsid w:val="00C73642"/>
    <w:rsid w:val="00C7431F"/>
    <w:rsid w:val="00C7452D"/>
    <w:rsid w:val="00C7497E"/>
    <w:rsid w:val="00C74CDD"/>
    <w:rsid w:val="00C74F23"/>
    <w:rsid w:val="00C75427"/>
    <w:rsid w:val="00C7551F"/>
    <w:rsid w:val="00C75B55"/>
    <w:rsid w:val="00C761A3"/>
    <w:rsid w:val="00C76232"/>
    <w:rsid w:val="00C76390"/>
    <w:rsid w:val="00C763F9"/>
    <w:rsid w:val="00C77072"/>
    <w:rsid w:val="00C778F8"/>
    <w:rsid w:val="00C77E47"/>
    <w:rsid w:val="00C77F38"/>
    <w:rsid w:val="00C8077D"/>
    <w:rsid w:val="00C80D03"/>
    <w:rsid w:val="00C812D8"/>
    <w:rsid w:val="00C81CDC"/>
    <w:rsid w:val="00C821F3"/>
    <w:rsid w:val="00C82825"/>
    <w:rsid w:val="00C829FE"/>
    <w:rsid w:val="00C82ADB"/>
    <w:rsid w:val="00C8349E"/>
    <w:rsid w:val="00C83F21"/>
    <w:rsid w:val="00C83F3F"/>
    <w:rsid w:val="00C84BCD"/>
    <w:rsid w:val="00C84E8B"/>
    <w:rsid w:val="00C84FD4"/>
    <w:rsid w:val="00C84FEC"/>
    <w:rsid w:val="00C85061"/>
    <w:rsid w:val="00C85147"/>
    <w:rsid w:val="00C8571E"/>
    <w:rsid w:val="00C859FF"/>
    <w:rsid w:val="00C85BF4"/>
    <w:rsid w:val="00C85E5F"/>
    <w:rsid w:val="00C861C9"/>
    <w:rsid w:val="00C863E5"/>
    <w:rsid w:val="00C864C3"/>
    <w:rsid w:val="00C8694D"/>
    <w:rsid w:val="00C86A37"/>
    <w:rsid w:val="00C871D8"/>
    <w:rsid w:val="00C87517"/>
    <w:rsid w:val="00C87622"/>
    <w:rsid w:val="00C87914"/>
    <w:rsid w:val="00C8792D"/>
    <w:rsid w:val="00C87BF7"/>
    <w:rsid w:val="00C87D7A"/>
    <w:rsid w:val="00C900C1"/>
    <w:rsid w:val="00C9014F"/>
    <w:rsid w:val="00C905C6"/>
    <w:rsid w:val="00C90AD2"/>
    <w:rsid w:val="00C90EEB"/>
    <w:rsid w:val="00C910E1"/>
    <w:rsid w:val="00C91DC3"/>
    <w:rsid w:val="00C91E7D"/>
    <w:rsid w:val="00C929D8"/>
    <w:rsid w:val="00C929FE"/>
    <w:rsid w:val="00C92B65"/>
    <w:rsid w:val="00C92C7D"/>
    <w:rsid w:val="00C92DD5"/>
    <w:rsid w:val="00C92FB9"/>
    <w:rsid w:val="00C93413"/>
    <w:rsid w:val="00C94089"/>
    <w:rsid w:val="00C9414F"/>
    <w:rsid w:val="00C946E8"/>
    <w:rsid w:val="00C94761"/>
    <w:rsid w:val="00C95363"/>
    <w:rsid w:val="00C9542A"/>
    <w:rsid w:val="00C95924"/>
    <w:rsid w:val="00C95A3E"/>
    <w:rsid w:val="00C95CD4"/>
    <w:rsid w:val="00C9653B"/>
    <w:rsid w:val="00C96604"/>
    <w:rsid w:val="00C968CA"/>
    <w:rsid w:val="00C96918"/>
    <w:rsid w:val="00C96AB8"/>
    <w:rsid w:val="00C97424"/>
    <w:rsid w:val="00C9751E"/>
    <w:rsid w:val="00C975EA"/>
    <w:rsid w:val="00CA06B6"/>
    <w:rsid w:val="00CA076E"/>
    <w:rsid w:val="00CA09D5"/>
    <w:rsid w:val="00CA0F92"/>
    <w:rsid w:val="00CA18FA"/>
    <w:rsid w:val="00CA1B65"/>
    <w:rsid w:val="00CA1B9F"/>
    <w:rsid w:val="00CA2352"/>
    <w:rsid w:val="00CA2572"/>
    <w:rsid w:val="00CA29CF"/>
    <w:rsid w:val="00CA2C6E"/>
    <w:rsid w:val="00CA309C"/>
    <w:rsid w:val="00CA32F3"/>
    <w:rsid w:val="00CA355B"/>
    <w:rsid w:val="00CA38EC"/>
    <w:rsid w:val="00CA39F0"/>
    <w:rsid w:val="00CA4409"/>
    <w:rsid w:val="00CA47C6"/>
    <w:rsid w:val="00CA4AA6"/>
    <w:rsid w:val="00CA4FF8"/>
    <w:rsid w:val="00CA531D"/>
    <w:rsid w:val="00CA5BB0"/>
    <w:rsid w:val="00CA5D2A"/>
    <w:rsid w:val="00CA608E"/>
    <w:rsid w:val="00CA630C"/>
    <w:rsid w:val="00CA6498"/>
    <w:rsid w:val="00CA6663"/>
    <w:rsid w:val="00CA66B7"/>
    <w:rsid w:val="00CA6737"/>
    <w:rsid w:val="00CA677B"/>
    <w:rsid w:val="00CA67AA"/>
    <w:rsid w:val="00CA68BA"/>
    <w:rsid w:val="00CA6CE8"/>
    <w:rsid w:val="00CA6FEB"/>
    <w:rsid w:val="00CA797F"/>
    <w:rsid w:val="00CA79E1"/>
    <w:rsid w:val="00CA7AF7"/>
    <w:rsid w:val="00CA7B7B"/>
    <w:rsid w:val="00CA7E26"/>
    <w:rsid w:val="00CB0DE8"/>
    <w:rsid w:val="00CB1084"/>
    <w:rsid w:val="00CB10A8"/>
    <w:rsid w:val="00CB1A1D"/>
    <w:rsid w:val="00CB24AB"/>
    <w:rsid w:val="00CB269E"/>
    <w:rsid w:val="00CB26E4"/>
    <w:rsid w:val="00CB2E5F"/>
    <w:rsid w:val="00CB3444"/>
    <w:rsid w:val="00CB3683"/>
    <w:rsid w:val="00CB3871"/>
    <w:rsid w:val="00CB4D44"/>
    <w:rsid w:val="00CB4DD8"/>
    <w:rsid w:val="00CB5328"/>
    <w:rsid w:val="00CB5338"/>
    <w:rsid w:val="00CB546F"/>
    <w:rsid w:val="00CB58A8"/>
    <w:rsid w:val="00CB603E"/>
    <w:rsid w:val="00CB635A"/>
    <w:rsid w:val="00CB65EF"/>
    <w:rsid w:val="00CB7131"/>
    <w:rsid w:val="00CB7851"/>
    <w:rsid w:val="00CB7918"/>
    <w:rsid w:val="00CB7BF2"/>
    <w:rsid w:val="00CB7D61"/>
    <w:rsid w:val="00CB7D77"/>
    <w:rsid w:val="00CB7F51"/>
    <w:rsid w:val="00CB7FA6"/>
    <w:rsid w:val="00CC04D7"/>
    <w:rsid w:val="00CC070F"/>
    <w:rsid w:val="00CC17A4"/>
    <w:rsid w:val="00CC18ED"/>
    <w:rsid w:val="00CC1B6A"/>
    <w:rsid w:val="00CC21A4"/>
    <w:rsid w:val="00CC2710"/>
    <w:rsid w:val="00CC28F2"/>
    <w:rsid w:val="00CC3877"/>
    <w:rsid w:val="00CC39A7"/>
    <w:rsid w:val="00CC3ABF"/>
    <w:rsid w:val="00CC3CD5"/>
    <w:rsid w:val="00CC4A21"/>
    <w:rsid w:val="00CC4BF9"/>
    <w:rsid w:val="00CC4E51"/>
    <w:rsid w:val="00CC5847"/>
    <w:rsid w:val="00CC61DD"/>
    <w:rsid w:val="00CC647F"/>
    <w:rsid w:val="00CC696E"/>
    <w:rsid w:val="00CC6986"/>
    <w:rsid w:val="00CC6D3E"/>
    <w:rsid w:val="00CC7506"/>
    <w:rsid w:val="00CC7802"/>
    <w:rsid w:val="00CC7DA3"/>
    <w:rsid w:val="00CC7DF1"/>
    <w:rsid w:val="00CD0514"/>
    <w:rsid w:val="00CD08D4"/>
    <w:rsid w:val="00CD2254"/>
    <w:rsid w:val="00CD272D"/>
    <w:rsid w:val="00CD2C12"/>
    <w:rsid w:val="00CD313F"/>
    <w:rsid w:val="00CD37B0"/>
    <w:rsid w:val="00CD3810"/>
    <w:rsid w:val="00CD3CE8"/>
    <w:rsid w:val="00CD3D4E"/>
    <w:rsid w:val="00CD3F17"/>
    <w:rsid w:val="00CD3FA7"/>
    <w:rsid w:val="00CD4397"/>
    <w:rsid w:val="00CD44C1"/>
    <w:rsid w:val="00CD470A"/>
    <w:rsid w:val="00CD4915"/>
    <w:rsid w:val="00CD563C"/>
    <w:rsid w:val="00CD5C62"/>
    <w:rsid w:val="00CD63CD"/>
    <w:rsid w:val="00CD7017"/>
    <w:rsid w:val="00CD708C"/>
    <w:rsid w:val="00CD71BD"/>
    <w:rsid w:val="00CD7657"/>
    <w:rsid w:val="00CD7730"/>
    <w:rsid w:val="00CD7CE8"/>
    <w:rsid w:val="00CE0246"/>
    <w:rsid w:val="00CE0970"/>
    <w:rsid w:val="00CE0B29"/>
    <w:rsid w:val="00CE0D48"/>
    <w:rsid w:val="00CE11F5"/>
    <w:rsid w:val="00CE146F"/>
    <w:rsid w:val="00CE1C14"/>
    <w:rsid w:val="00CE1C6F"/>
    <w:rsid w:val="00CE1E84"/>
    <w:rsid w:val="00CE25CB"/>
    <w:rsid w:val="00CE28A8"/>
    <w:rsid w:val="00CE2D0F"/>
    <w:rsid w:val="00CE2E73"/>
    <w:rsid w:val="00CE3011"/>
    <w:rsid w:val="00CE357F"/>
    <w:rsid w:val="00CE3E12"/>
    <w:rsid w:val="00CE4345"/>
    <w:rsid w:val="00CE449D"/>
    <w:rsid w:val="00CE4778"/>
    <w:rsid w:val="00CE47B0"/>
    <w:rsid w:val="00CE4A32"/>
    <w:rsid w:val="00CE4DC2"/>
    <w:rsid w:val="00CE5359"/>
    <w:rsid w:val="00CE5F20"/>
    <w:rsid w:val="00CE6095"/>
    <w:rsid w:val="00CE6959"/>
    <w:rsid w:val="00CE6BAA"/>
    <w:rsid w:val="00CE753C"/>
    <w:rsid w:val="00CE7560"/>
    <w:rsid w:val="00CE770C"/>
    <w:rsid w:val="00CF02B5"/>
    <w:rsid w:val="00CF0FDE"/>
    <w:rsid w:val="00CF25AB"/>
    <w:rsid w:val="00CF261A"/>
    <w:rsid w:val="00CF2B04"/>
    <w:rsid w:val="00CF304F"/>
    <w:rsid w:val="00CF312C"/>
    <w:rsid w:val="00CF376C"/>
    <w:rsid w:val="00CF3BE2"/>
    <w:rsid w:val="00CF3DF4"/>
    <w:rsid w:val="00CF565F"/>
    <w:rsid w:val="00CF5E97"/>
    <w:rsid w:val="00CF5F8B"/>
    <w:rsid w:val="00CF5FEB"/>
    <w:rsid w:val="00CF685F"/>
    <w:rsid w:val="00CF6DC3"/>
    <w:rsid w:val="00CF707D"/>
    <w:rsid w:val="00CF72E7"/>
    <w:rsid w:val="00CF7589"/>
    <w:rsid w:val="00CF76AB"/>
    <w:rsid w:val="00D00568"/>
    <w:rsid w:val="00D00762"/>
    <w:rsid w:val="00D00851"/>
    <w:rsid w:val="00D00C90"/>
    <w:rsid w:val="00D00CE8"/>
    <w:rsid w:val="00D00DA7"/>
    <w:rsid w:val="00D00E56"/>
    <w:rsid w:val="00D011CD"/>
    <w:rsid w:val="00D01B2F"/>
    <w:rsid w:val="00D01D94"/>
    <w:rsid w:val="00D02418"/>
    <w:rsid w:val="00D02521"/>
    <w:rsid w:val="00D0329D"/>
    <w:rsid w:val="00D03ACC"/>
    <w:rsid w:val="00D03FCC"/>
    <w:rsid w:val="00D04164"/>
    <w:rsid w:val="00D044E6"/>
    <w:rsid w:val="00D050D8"/>
    <w:rsid w:val="00D055EA"/>
    <w:rsid w:val="00D05749"/>
    <w:rsid w:val="00D0575F"/>
    <w:rsid w:val="00D058BB"/>
    <w:rsid w:val="00D05E66"/>
    <w:rsid w:val="00D05FFE"/>
    <w:rsid w:val="00D06231"/>
    <w:rsid w:val="00D07525"/>
    <w:rsid w:val="00D109FC"/>
    <w:rsid w:val="00D11356"/>
    <w:rsid w:val="00D11434"/>
    <w:rsid w:val="00D1178B"/>
    <w:rsid w:val="00D118A6"/>
    <w:rsid w:val="00D11D38"/>
    <w:rsid w:val="00D11D97"/>
    <w:rsid w:val="00D11DBD"/>
    <w:rsid w:val="00D124AE"/>
    <w:rsid w:val="00D125EB"/>
    <w:rsid w:val="00D12A10"/>
    <w:rsid w:val="00D12A8F"/>
    <w:rsid w:val="00D13ADA"/>
    <w:rsid w:val="00D14365"/>
    <w:rsid w:val="00D14484"/>
    <w:rsid w:val="00D14873"/>
    <w:rsid w:val="00D14B29"/>
    <w:rsid w:val="00D14C8C"/>
    <w:rsid w:val="00D14DB5"/>
    <w:rsid w:val="00D1558A"/>
    <w:rsid w:val="00D1580C"/>
    <w:rsid w:val="00D158E0"/>
    <w:rsid w:val="00D16187"/>
    <w:rsid w:val="00D16390"/>
    <w:rsid w:val="00D1678A"/>
    <w:rsid w:val="00D16B1A"/>
    <w:rsid w:val="00D17142"/>
    <w:rsid w:val="00D17346"/>
    <w:rsid w:val="00D1749B"/>
    <w:rsid w:val="00D17F2F"/>
    <w:rsid w:val="00D202B9"/>
    <w:rsid w:val="00D20956"/>
    <w:rsid w:val="00D215C2"/>
    <w:rsid w:val="00D21BE4"/>
    <w:rsid w:val="00D224C3"/>
    <w:rsid w:val="00D226F0"/>
    <w:rsid w:val="00D229E8"/>
    <w:rsid w:val="00D22B2C"/>
    <w:rsid w:val="00D22BE0"/>
    <w:rsid w:val="00D23B42"/>
    <w:rsid w:val="00D2460A"/>
    <w:rsid w:val="00D24E0D"/>
    <w:rsid w:val="00D255CA"/>
    <w:rsid w:val="00D258CF"/>
    <w:rsid w:val="00D262C8"/>
    <w:rsid w:val="00D26598"/>
    <w:rsid w:val="00D26EA9"/>
    <w:rsid w:val="00D27407"/>
    <w:rsid w:val="00D27F0F"/>
    <w:rsid w:val="00D3064A"/>
    <w:rsid w:val="00D30F16"/>
    <w:rsid w:val="00D31C32"/>
    <w:rsid w:val="00D32087"/>
    <w:rsid w:val="00D3272F"/>
    <w:rsid w:val="00D3275C"/>
    <w:rsid w:val="00D32A97"/>
    <w:rsid w:val="00D32B7E"/>
    <w:rsid w:val="00D331A0"/>
    <w:rsid w:val="00D33592"/>
    <w:rsid w:val="00D338A2"/>
    <w:rsid w:val="00D33B1A"/>
    <w:rsid w:val="00D33E29"/>
    <w:rsid w:val="00D34B79"/>
    <w:rsid w:val="00D3529F"/>
    <w:rsid w:val="00D36700"/>
    <w:rsid w:val="00D36B19"/>
    <w:rsid w:val="00D37155"/>
    <w:rsid w:val="00D402AD"/>
    <w:rsid w:val="00D40362"/>
    <w:rsid w:val="00D40F28"/>
    <w:rsid w:val="00D41E49"/>
    <w:rsid w:val="00D42DAF"/>
    <w:rsid w:val="00D433C5"/>
    <w:rsid w:val="00D4341F"/>
    <w:rsid w:val="00D438A2"/>
    <w:rsid w:val="00D43A83"/>
    <w:rsid w:val="00D43ADE"/>
    <w:rsid w:val="00D4401B"/>
    <w:rsid w:val="00D440CF"/>
    <w:rsid w:val="00D4423F"/>
    <w:rsid w:val="00D44F6A"/>
    <w:rsid w:val="00D44FDA"/>
    <w:rsid w:val="00D44FEC"/>
    <w:rsid w:val="00D451F1"/>
    <w:rsid w:val="00D457B0"/>
    <w:rsid w:val="00D45E1C"/>
    <w:rsid w:val="00D45E2D"/>
    <w:rsid w:val="00D46169"/>
    <w:rsid w:val="00D46227"/>
    <w:rsid w:val="00D4641E"/>
    <w:rsid w:val="00D46510"/>
    <w:rsid w:val="00D4694C"/>
    <w:rsid w:val="00D47493"/>
    <w:rsid w:val="00D47539"/>
    <w:rsid w:val="00D479AC"/>
    <w:rsid w:val="00D47CB3"/>
    <w:rsid w:val="00D5062C"/>
    <w:rsid w:val="00D506E4"/>
    <w:rsid w:val="00D50997"/>
    <w:rsid w:val="00D50C81"/>
    <w:rsid w:val="00D51739"/>
    <w:rsid w:val="00D51875"/>
    <w:rsid w:val="00D51B35"/>
    <w:rsid w:val="00D521E7"/>
    <w:rsid w:val="00D52533"/>
    <w:rsid w:val="00D5290C"/>
    <w:rsid w:val="00D52D8D"/>
    <w:rsid w:val="00D52F8F"/>
    <w:rsid w:val="00D53198"/>
    <w:rsid w:val="00D53425"/>
    <w:rsid w:val="00D538BE"/>
    <w:rsid w:val="00D54206"/>
    <w:rsid w:val="00D54575"/>
    <w:rsid w:val="00D54673"/>
    <w:rsid w:val="00D54DD6"/>
    <w:rsid w:val="00D5527D"/>
    <w:rsid w:val="00D5608B"/>
    <w:rsid w:val="00D560BA"/>
    <w:rsid w:val="00D56247"/>
    <w:rsid w:val="00D56435"/>
    <w:rsid w:val="00D56708"/>
    <w:rsid w:val="00D56987"/>
    <w:rsid w:val="00D573B6"/>
    <w:rsid w:val="00D57A35"/>
    <w:rsid w:val="00D57B3E"/>
    <w:rsid w:val="00D57B81"/>
    <w:rsid w:val="00D57F06"/>
    <w:rsid w:val="00D57F86"/>
    <w:rsid w:val="00D60083"/>
    <w:rsid w:val="00D600F0"/>
    <w:rsid w:val="00D606CC"/>
    <w:rsid w:val="00D60847"/>
    <w:rsid w:val="00D609DE"/>
    <w:rsid w:val="00D60C72"/>
    <w:rsid w:val="00D6134E"/>
    <w:rsid w:val="00D616A6"/>
    <w:rsid w:val="00D61957"/>
    <w:rsid w:val="00D6197A"/>
    <w:rsid w:val="00D61BC8"/>
    <w:rsid w:val="00D61DA8"/>
    <w:rsid w:val="00D62585"/>
    <w:rsid w:val="00D630C6"/>
    <w:rsid w:val="00D6312D"/>
    <w:rsid w:val="00D63341"/>
    <w:rsid w:val="00D636F0"/>
    <w:rsid w:val="00D63B7A"/>
    <w:rsid w:val="00D63E51"/>
    <w:rsid w:val="00D641C7"/>
    <w:rsid w:val="00D646EA"/>
    <w:rsid w:val="00D6494E"/>
    <w:rsid w:val="00D64B90"/>
    <w:rsid w:val="00D65568"/>
    <w:rsid w:val="00D659B5"/>
    <w:rsid w:val="00D66447"/>
    <w:rsid w:val="00D668AF"/>
    <w:rsid w:val="00D67758"/>
    <w:rsid w:val="00D678FF"/>
    <w:rsid w:val="00D67DFA"/>
    <w:rsid w:val="00D67F5F"/>
    <w:rsid w:val="00D700E9"/>
    <w:rsid w:val="00D70146"/>
    <w:rsid w:val="00D70268"/>
    <w:rsid w:val="00D70365"/>
    <w:rsid w:val="00D70797"/>
    <w:rsid w:val="00D70C7A"/>
    <w:rsid w:val="00D710F9"/>
    <w:rsid w:val="00D711E0"/>
    <w:rsid w:val="00D71299"/>
    <w:rsid w:val="00D71A9F"/>
    <w:rsid w:val="00D71BFD"/>
    <w:rsid w:val="00D72212"/>
    <w:rsid w:val="00D72F73"/>
    <w:rsid w:val="00D73B3C"/>
    <w:rsid w:val="00D73B75"/>
    <w:rsid w:val="00D7441D"/>
    <w:rsid w:val="00D74668"/>
    <w:rsid w:val="00D747ED"/>
    <w:rsid w:val="00D74B80"/>
    <w:rsid w:val="00D75430"/>
    <w:rsid w:val="00D756FE"/>
    <w:rsid w:val="00D75A87"/>
    <w:rsid w:val="00D75CB3"/>
    <w:rsid w:val="00D766A2"/>
    <w:rsid w:val="00D76721"/>
    <w:rsid w:val="00D76929"/>
    <w:rsid w:val="00D77080"/>
    <w:rsid w:val="00D7725E"/>
    <w:rsid w:val="00D77C4A"/>
    <w:rsid w:val="00D80155"/>
    <w:rsid w:val="00D81378"/>
    <w:rsid w:val="00D81475"/>
    <w:rsid w:val="00D81DAC"/>
    <w:rsid w:val="00D826FB"/>
    <w:rsid w:val="00D8342A"/>
    <w:rsid w:val="00D8364F"/>
    <w:rsid w:val="00D84592"/>
    <w:rsid w:val="00D84C05"/>
    <w:rsid w:val="00D852A6"/>
    <w:rsid w:val="00D852C0"/>
    <w:rsid w:val="00D853DB"/>
    <w:rsid w:val="00D85C51"/>
    <w:rsid w:val="00D85E64"/>
    <w:rsid w:val="00D86AB3"/>
    <w:rsid w:val="00D86D65"/>
    <w:rsid w:val="00D8712A"/>
    <w:rsid w:val="00D871D9"/>
    <w:rsid w:val="00D8737C"/>
    <w:rsid w:val="00D87F8E"/>
    <w:rsid w:val="00D87FD9"/>
    <w:rsid w:val="00D90FEC"/>
    <w:rsid w:val="00D91EB4"/>
    <w:rsid w:val="00D9255F"/>
    <w:rsid w:val="00D92620"/>
    <w:rsid w:val="00D92C92"/>
    <w:rsid w:val="00D92F27"/>
    <w:rsid w:val="00D93401"/>
    <w:rsid w:val="00D93815"/>
    <w:rsid w:val="00D93A39"/>
    <w:rsid w:val="00D93B07"/>
    <w:rsid w:val="00D93DA1"/>
    <w:rsid w:val="00D93E21"/>
    <w:rsid w:val="00D93E25"/>
    <w:rsid w:val="00D93F3C"/>
    <w:rsid w:val="00D943DF"/>
    <w:rsid w:val="00D946A2"/>
    <w:rsid w:val="00D94E98"/>
    <w:rsid w:val="00D94FCB"/>
    <w:rsid w:val="00D952E6"/>
    <w:rsid w:val="00D953AC"/>
    <w:rsid w:val="00D95B8E"/>
    <w:rsid w:val="00D95BAA"/>
    <w:rsid w:val="00D95D0C"/>
    <w:rsid w:val="00D965A6"/>
    <w:rsid w:val="00D967C4"/>
    <w:rsid w:val="00D96827"/>
    <w:rsid w:val="00D96BA4"/>
    <w:rsid w:val="00D97B80"/>
    <w:rsid w:val="00DA0176"/>
    <w:rsid w:val="00DA0531"/>
    <w:rsid w:val="00DA0AA1"/>
    <w:rsid w:val="00DA0DB8"/>
    <w:rsid w:val="00DA0E40"/>
    <w:rsid w:val="00DA0F75"/>
    <w:rsid w:val="00DA14FD"/>
    <w:rsid w:val="00DA1DDF"/>
    <w:rsid w:val="00DA2332"/>
    <w:rsid w:val="00DA26AE"/>
    <w:rsid w:val="00DA2F53"/>
    <w:rsid w:val="00DA3DF2"/>
    <w:rsid w:val="00DA4353"/>
    <w:rsid w:val="00DA4372"/>
    <w:rsid w:val="00DA43A7"/>
    <w:rsid w:val="00DA45BA"/>
    <w:rsid w:val="00DA4D33"/>
    <w:rsid w:val="00DA53AB"/>
    <w:rsid w:val="00DA555D"/>
    <w:rsid w:val="00DA5783"/>
    <w:rsid w:val="00DA60D0"/>
    <w:rsid w:val="00DA64DD"/>
    <w:rsid w:val="00DA772C"/>
    <w:rsid w:val="00DA7859"/>
    <w:rsid w:val="00DA79D6"/>
    <w:rsid w:val="00DA7AC3"/>
    <w:rsid w:val="00DA7D7B"/>
    <w:rsid w:val="00DB003C"/>
    <w:rsid w:val="00DB061A"/>
    <w:rsid w:val="00DB0BEA"/>
    <w:rsid w:val="00DB1014"/>
    <w:rsid w:val="00DB10FC"/>
    <w:rsid w:val="00DB1322"/>
    <w:rsid w:val="00DB138C"/>
    <w:rsid w:val="00DB1C70"/>
    <w:rsid w:val="00DB1EEE"/>
    <w:rsid w:val="00DB21F2"/>
    <w:rsid w:val="00DB2226"/>
    <w:rsid w:val="00DB27AC"/>
    <w:rsid w:val="00DB2929"/>
    <w:rsid w:val="00DB2FE8"/>
    <w:rsid w:val="00DB30F4"/>
    <w:rsid w:val="00DB380D"/>
    <w:rsid w:val="00DB4C9D"/>
    <w:rsid w:val="00DB5FB8"/>
    <w:rsid w:val="00DB6C98"/>
    <w:rsid w:val="00DB7674"/>
    <w:rsid w:val="00DB76D5"/>
    <w:rsid w:val="00DB7972"/>
    <w:rsid w:val="00DC0A46"/>
    <w:rsid w:val="00DC0E7C"/>
    <w:rsid w:val="00DC14C8"/>
    <w:rsid w:val="00DC15B0"/>
    <w:rsid w:val="00DC2989"/>
    <w:rsid w:val="00DC3034"/>
    <w:rsid w:val="00DC3260"/>
    <w:rsid w:val="00DC3571"/>
    <w:rsid w:val="00DC3F65"/>
    <w:rsid w:val="00DC4442"/>
    <w:rsid w:val="00DC464E"/>
    <w:rsid w:val="00DC46AA"/>
    <w:rsid w:val="00DC609D"/>
    <w:rsid w:val="00DC65B1"/>
    <w:rsid w:val="00DC668E"/>
    <w:rsid w:val="00DC752D"/>
    <w:rsid w:val="00DC787F"/>
    <w:rsid w:val="00DD09B7"/>
    <w:rsid w:val="00DD1189"/>
    <w:rsid w:val="00DD136A"/>
    <w:rsid w:val="00DD16CE"/>
    <w:rsid w:val="00DD1B12"/>
    <w:rsid w:val="00DD23A1"/>
    <w:rsid w:val="00DD2618"/>
    <w:rsid w:val="00DD2748"/>
    <w:rsid w:val="00DD29BB"/>
    <w:rsid w:val="00DD2D3F"/>
    <w:rsid w:val="00DD3226"/>
    <w:rsid w:val="00DD3E12"/>
    <w:rsid w:val="00DD4604"/>
    <w:rsid w:val="00DD4670"/>
    <w:rsid w:val="00DD4CAD"/>
    <w:rsid w:val="00DD4D54"/>
    <w:rsid w:val="00DD50AF"/>
    <w:rsid w:val="00DD52B2"/>
    <w:rsid w:val="00DD5380"/>
    <w:rsid w:val="00DD5CDD"/>
    <w:rsid w:val="00DD5D5C"/>
    <w:rsid w:val="00DD66FE"/>
    <w:rsid w:val="00DD68C9"/>
    <w:rsid w:val="00DD71A1"/>
    <w:rsid w:val="00DE0A38"/>
    <w:rsid w:val="00DE0BAC"/>
    <w:rsid w:val="00DE1216"/>
    <w:rsid w:val="00DE12A6"/>
    <w:rsid w:val="00DE1836"/>
    <w:rsid w:val="00DE1CA4"/>
    <w:rsid w:val="00DE24BF"/>
    <w:rsid w:val="00DE2631"/>
    <w:rsid w:val="00DE2BB4"/>
    <w:rsid w:val="00DE2EAF"/>
    <w:rsid w:val="00DE2F75"/>
    <w:rsid w:val="00DE2F99"/>
    <w:rsid w:val="00DE2FAD"/>
    <w:rsid w:val="00DE3095"/>
    <w:rsid w:val="00DE311A"/>
    <w:rsid w:val="00DE3492"/>
    <w:rsid w:val="00DE35B7"/>
    <w:rsid w:val="00DE3ABB"/>
    <w:rsid w:val="00DE3D1E"/>
    <w:rsid w:val="00DE3F1B"/>
    <w:rsid w:val="00DE4234"/>
    <w:rsid w:val="00DE4518"/>
    <w:rsid w:val="00DE482E"/>
    <w:rsid w:val="00DE4F08"/>
    <w:rsid w:val="00DE511B"/>
    <w:rsid w:val="00DE5158"/>
    <w:rsid w:val="00DE5AD1"/>
    <w:rsid w:val="00DE5CF8"/>
    <w:rsid w:val="00DE6243"/>
    <w:rsid w:val="00DE6C3A"/>
    <w:rsid w:val="00DE771D"/>
    <w:rsid w:val="00DE7C64"/>
    <w:rsid w:val="00DF01AF"/>
    <w:rsid w:val="00DF06C7"/>
    <w:rsid w:val="00DF0D38"/>
    <w:rsid w:val="00DF0E49"/>
    <w:rsid w:val="00DF10D2"/>
    <w:rsid w:val="00DF1326"/>
    <w:rsid w:val="00DF13AE"/>
    <w:rsid w:val="00DF1B07"/>
    <w:rsid w:val="00DF2338"/>
    <w:rsid w:val="00DF288D"/>
    <w:rsid w:val="00DF29B8"/>
    <w:rsid w:val="00DF2CC0"/>
    <w:rsid w:val="00DF40D4"/>
    <w:rsid w:val="00DF44EC"/>
    <w:rsid w:val="00DF4BDE"/>
    <w:rsid w:val="00DF4C2C"/>
    <w:rsid w:val="00DF5261"/>
    <w:rsid w:val="00DF527C"/>
    <w:rsid w:val="00DF599C"/>
    <w:rsid w:val="00DF5EBD"/>
    <w:rsid w:val="00DF664E"/>
    <w:rsid w:val="00DF6709"/>
    <w:rsid w:val="00DF7998"/>
    <w:rsid w:val="00DF7A40"/>
    <w:rsid w:val="00DF7BA0"/>
    <w:rsid w:val="00E000D4"/>
    <w:rsid w:val="00E0044B"/>
    <w:rsid w:val="00E00537"/>
    <w:rsid w:val="00E00B5A"/>
    <w:rsid w:val="00E00DC0"/>
    <w:rsid w:val="00E01842"/>
    <w:rsid w:val="00E02643"/>
    <w:rsid w:val="00E02650"/>
    <w:rsid w:val="00E02BE3"/>
    <w:rsid w:val="00E03240"/>
    <w:rsid w:val="00E038B1"/>
    <w:rsid w:val="00E03ACE"/>
    <w:rsid w:val="00E03E3D"/>
    <w:rsid w:val="00E0444F"/>
    <w:rsid w:val="00E0459B"/>
    <w:rsid w:val="00E04998"/>
    <w:rsid w:val="00E04BAC"/>
    <w:rsid w:val="00E04F79"/>
    <w:rsid w:val="00E05514"/>
    <w:rsid w:val="00E05D5C"/>
    <w:rsid w:val="00E05ED9"/>
    <w:rsid w:val="00E071A5"/>
    <w:rsid w:val="00E075A1"/>
    <w:rsid w:val="00E076CD"/>
    <w:rsid w:val="00E07C3A"/>
    <w:rsid w:val="00E07F1A"/>
    <w:rsid w:val="00E112E2"/>
    <w:rsid w:val="00E1132A"/>
    <w:rsid w:val="00E11784"/>
    <w:rsid w:val="00E11E25"/>
    <w:rsid w:val="00E12CB4"/>
    <w:rsid w:val="00E1310E"/>
    <w:rsid w:val="00E133FF"/>
    <w:rsid w:val="00E13F8B"/>
    <w:rsid w:val="00E13F8F"/>
    <w:rsid w:val="00E145BA"/>
    <w:rsid w:val="00E14900"/>
    <w:rsid w:val="00E14C96"/>
    <w:rsid w:val="00E153C2"/>
    <w:rsid w:val="00E15468"/>
    <w:rsid w:val="00E154D6"/>
    <w:rsid w:val="00E154E9"/>
    <w:rsid w:val="00E15F2C"/>
    <w:rsid w:val="00E16D6D"/>
    <w:rsid w:val="00E16F0B"/>
    <w:rsid w:val="00E170F3"/>
    <w:rsid w:val="00E17289"/>
    <w:rsid w:val="00E1760A"/>
    <w:rsid w:val="00E204C6"/>
    <w:rsid w:val="00E20629"/>
    <w:rsid w:val="00E20828"/>
    <w:rsid w:val="00E20A6F"/>
    <w:rsid w:val="00E20BEE"/>
    <w:rsid w:val="00E20F9F"/>
    <w:rsid w:val="00E211A8"/>
    <w:rsid w:val="00E2135E"/>
    <w:rsid w:val="00E214C9"/>
    <w:rsid w:val="00E2180D"/>
    <w:rsid w:val="00E21C07"/>
    <w:rsid w:val="00E22418"/>
    <w:rsid w:val="00E22832"/>
    <w:rsid w:val="00E22B48"/>
    <w:rsid w:val="00E23860"/>
    <w:rsid w:val="00E23B87"/>
    <w:rsid w:val="00E247AB"/>
    <w:rsid w:val="00E247C3"/>
    <w:rsid w:val="00E249EB"/>
    <w:rsid w:val="00E25230"/>
    <w:rsid w:val="00E252B7"/>
    <w:rsid w:val="00E2545C"/>
    <w:rsid w:val="00E25827"/>
    <w:rsid w:val="00E25C4D"/>
    <w:rsid w:val="00E26071"/>
    <w:rsid w:val="00E26533"/>
    <w:rsid w:val="00E274FC"/>
    <w:rsid w:val="00E27523"/>
    <w:rsid w:val="00E27769"/>
    <w:rsid w:val="00E27840"/>
    <w:rsid w:val="00E27EBB"/>
    <w:rsid w:val="00E30176"/>
    <w:rsid w:val="00E30266"/>
    <w:rsid w:val="00E306BF"/>
    <w:rsid w:val="00E30C8A"/>
    <w:rsid w:val="00E30ECE"/>
    <w:rsid w:val="00E31215"/>
    <w:rsid w:val="00E31E2A"/>
    <w:rsid w:val="00E31F95"/>
    <w:rsid w:val="00E3294C"/>
    <w:rsid w:val="00E32B1D"/>
    <w:rsid w:val="00E32C75"/>
    <w:rsid w:val="00E33149"/>
    <w:rsid w:val="00E331CE"/>
    <w:rsid w:val="00E3404D"/>
    <w:rsid w:val="00E344A6"/>
    <w:rsid w:val="00E34D7A"/>
    <w:rsid w:val="00E35503"/>
    <w:rsid w:val="00E3566E"/>
    <w:rsid w:val="00E35B8A"/>
    <w:rsid w:val="00E360D1"/>
    <w:rsid w:val="00E36113"/>
    <w:rsid w:val="00E36776"/>
    <w:rsid w:val="00E36789"/>
    <w:rsid w:val="00E36A80"/>
    <w:rsid w:val="00E36DC1"/>
    <w:rsid w:val="00E36E15"/>
    <w:rsid w:val="00E37567"/>
    <w:rsid w:val="00E37A0D"/>
    <w:rsid w:val="00E4026D"/>
    <w:rsid w:val="00E40880"/>
    <w:rsid w:val="00E42147"/>
    <w:rsid w:val="00E42734"/>
    <w:rsid w:val="00E427E2"/>
    <w:rsid w:val="00E42ACE"/>
    <w:rsid w:val="00E43B00"/>
    <w:rsid w:val="00E444EA"/>
    <w:rsid w:val="00E4479E"/>
    <w:rsid w:val="00E44BF7"/>
    <w:rsid w:val="00E45142"/>
    <w:rsid w:val="00E4553C"/>
    <w:rsid w:val="00E4597E"/>
    <w:rsid w:val="00E45E32"/>
    <w:rsid w:val="00E464ED"/>
    <w:rsid w:val="00E467CC"/>
    <w:rsid w:val="00E46EF1"/>
    <w:rsid w:val="00E470D2"/>
    <w:rsid w:val="00E4712C"/>
    <w:rsid w:val="00E472D3"/>
    <w:rsid w:val="00E47315"/>
    <w:rsid w:val="00E47BD8"/>
    <w:rsid w:val="00E47C5E"/>
    <w:rsid w:val="00E501C8"/>
    <w:rsid w:val="00E50363"/>
    <w:rsid w:val="00E50609"/>
    <w:rsid w:val="00E50682"/>
    <w:rsid w:val="00E506F6"/>
    <w:rsid w:val="00E50824"/>
    <w:rsid w:val="00E508A0"/>
    <w:rsid w:val="00E509E0"/>
    <w:rsid w:val="00E50DE5"/>
    <w:rsid w:val="00E50F02"/>
    <w:rsid w:val="00E51170"/>
    <w:rsid w:val="00E513AA"/>
    <w:rsid w:val="00E51794"/>
    <w:rsid w:val="00E518A3"/>
    <w:rsid w:val="00E519FA"/>
    <w:rsid w:val="00E52010"/>
    <w:rsid w:val="00E5204B"/>
    <w:rsid w:val="00E52312"/>
    <w:rsid w:val="00E5266C"/>
    <w:rsid w:val="00E52875"/>
    <w:rsid w:val="00E52930"/>
    <w:rsid w:val="00E52A5F"/>
    <w:rsid w:val="00E52DC2"/>
    <w:rsid w:val="00E52E53"/>
    <w:rsid w:val="00E52F9F"/>
    <w:rsid w:val="00E53996"/>
    <w:rsid w:val="00E53A1E"/>
    <w:rsid w:val="00E53B9A"/>
    <w:rsid w:val="00E53D6A"/>
    <w:rsid w:val="00E543C2"/>
    <w:rsid w:val="00E543D9"/>
    <w:rsid w:val="00E54BA9"/>
    <w:rsid w:val="00E554C5"/>
    <w:rsid w:val="00E55D23"/>
    <w:rsid w:val="00E55D92"/>
    <w:rsid w:val="00E56396"/>
    <w:rsid w:val="00E5639B"/>
    <w:rsid w:val="00E56A1F"/>
    <w:rsid w:val="00E57EF2"/>
    <w:rsid w:val="00E60115"/>
    <w:rsid w:val="00E607FE"/>
    <w:rsid w:val="00E60864"/>
    <w:rsid w:val="00E611F3"/>
    <w:rsid w:val="00E6139F"/>
    <w:rsid w:val="00E61408"/>
    <w:rsid w:val="00E6159E"/>
    <w:rsid w:val="00E61B9E"/>
    <w:rsid w:val="00E62050"/>
    <w:rsid w:val="00E621AF"/>
    <w:rsid w:val="00E629A5"/>
    <w:rsid w:val="00E62FF1"/>
    <w:rsid w:val="00E63BC9"/>
    <w:rsid w:val="00E63D85"/>
    <w:rsid w:val="00E63F8D"/>
    <w:rsid w:val="00E64713"/>
    <w:rsid w:val="00E64AE7"/>
    <w:rsid w:val="00E64C71"/>
    <w:rsid w:val="00E652FC"/>
    <w:rsid w:val="00E656AB"/>
    <w:rsid w:val="00E657D6"/>
    <w:rsid w:val="00E6595C"/>
    <w:rsid w:val="00E65D4C"/>
    <w:rsid w:val="00E65E46"/>
    <w:rsid w:val="00E66043"/>
    <w:rsid w:val="00E661DE"/>
    <w:rsid w:val="00E66214"/>
    <w:rsid w:val="00E662B7"/>
    <w:rsid w:val="00E66559"/>
    <w:rsid w:val="00E66781"/>
    <w:rsid w:val="00E667F2"/>
    <w:rsid w:val="00E66812"/>
    <w:rsid w:val="00E669BC"/>
    <w:rsid w:val="00E66BF3"/>
    <w:rsid w:val="00E672EC"/>
    <w:rsid w:val="00E67772"/>
    <w:rsid w:val="00E6790B"/>
    <w:rsid w:val="00E67D8F"/>
    <w:rsid w:val="00E67DAE"/>
    <w:rsid w:val="00E67EF1"/>
    <w:rsid w:val="00E701D5"/>
    <w:rsid w:val="00E70B25"/>
    <w:rsid w:val="00E70B48"/>
    <w:rsid w:val="00E70C18"/>
    <w:rsid w:val="00E70E80"/>
    <w:rsid w:val="00E71742"/>
    <w:rsid w:val="00E7233A"/>
    <w:rsid w:val="00E7277A"/>
    <w:rsid w:val="00E72CED"/>
    <w:rsid w:val="00E72ED1"/>
    <w:rsid w:val="00E73299"/>
    <w:rsid w:val="00E739E1"/>
    <w:rsid w:val="00E73A6C"/>
    <w:rsid w:val="00E73A95"/>
    <w:rsid w:val="00E74170"/>
    <w:rsid w:val="00E7451A"/>
    <w:rsid w:val="00E74BD3"/>
    <w:rsid w:val="00E74E0D"/>
    <w:rsid w:val="00E7553D"/>
    <w:rsid w:val="00E755F8"/>
    <w:rsid w:val="00E75C33"/>
    <w:rsid w:val="00E76CB3"/>
    <w:rsid w:val="00E7714F"/>
    <w:rsid w:val="00E77349"/>
    <w:rsid w:val="00E7783E"/>
    <w:rsid w:val="00E779B2"/>
    <w:rsid w:val="00E77D40"/>
    <w:rsid w:val="00E77EF8"/>
    <w:rsid w:val="00E80293"/>
    <w:rsid w:val="00E80BAB"/>
    <w:rsid w:val="00E80EF2"/>
    <w:rsid w:val="00E81337"/>
    <w:rsid w:val="00E8183B"/>
    <w:rsid w:val="00E825BF"/>
    <w:rsid w:val="00E8277C"/>
    <w:rsid w:val="00E82A31"/>
    <w:rsid w:val="00E82B82"/>
    <w:rsid w:val="00E833EB"/>
    <w:rsid w:val="00E83864"/>
    <w:rsid w:val="00E83914"/>
    <w:rsid w:val="00E839A7"/>
    <w:rsid w:val="00E83B05"/>
    <w:rsid w:val="00E83D61"/>
    <w:rsid w:val="00E84B35"/>
    <w:rsid w:val="00E84D36"/>
    <w:rsid w:val="00E8500F"/>
    <w:rsid w:val="00E85101"/>
    <w:rsid w:val="00E8515E"/>
    <w:rsid w:val="00E85290"/>
    <w:rsid w:val="00E85A56"/>
    <w:rsid w:val="00E85F7C"/>
    <w:rsid w:val="00E86620"/>
    <w:rsid w:val="00E86629"/>
    <w:rsid w:val="00E86B31"/>
    <w:rsid w:val="00E86C41"/>
    <w:rsid w:val="00E87935"/>
    <w:rsid w:val="00E87BA0"/>
    <w:rsid w:val="00E903A2"/>
    <w:rsid w:val="00E907DA"/>
    <w:rsid w:val="00E91310"/>
    <w:rsid w:val="00E91744"/>
    <w:rsid w:val="00E928A5"/>
    <w:rsid w:val="00E92AE6"/>
    <w:rsid w:val="00E92B80"/>
    <w:rsid w:val="00E93010"/>
    <w:rsid w:val="00E935A6"/>
    <w:rsid w:val="00E93FBF"/>
    <w:rsid w:val="00E942DA"/>
    <w:rsid w:val="00E944E6"/>
    <w:rsid w:val="00E9477E"/>
    <w:rsid w:val="00E94884"/>
    <w:rsid w:val="00E94987"/>
    <w:rsid w:val="00E956FA"/>
    <w:rsid w:val="00E959A6"/>
    <w:rsid w:val="00E95DCA"/>
    <w:rsid w:val="00E95EF5"/>
    <w:rsid w:val="00E964BD"/>
    <w:rsid w:val="00E96ED5"/>
    <w:rsid w:val="00E97118"/>
    <w:rsid w:val="00E972FE"/>
    <w:rsid w:val="00E973D9"/>
    <w:rsid w:val="00E97494"/>
    <w:rsid w:val="00E97E99"/>
    <w:rsid w:val="00EA01EC"/>
    <w:rsid w:val="00EA06CF"/>
    <w:rsid w:val="00EA082E"/>
    <w:rsid w:val="00EA1090"/>
    <w:rsid w:val="00EA158D"/>
    <w:rsid w:val="00EA1955"/>
    <w:rsid w:val="00EA1B8E"/>
    <w:rsid w:val="00EA1D93"/>
    <w:rsid w:val="00EA1FF1"/>
    <w:rsid w:val="00EA23CA"/>
    <w:rsid w:val="00EA2481"/>
    <w:rsid w:val="00EA2EA5"/>
    <w:rsid w:val="00EA2F3F"/>
    <w:rsid w:val="00EA3480"/>
    <w:rsid w:val="00EA34D1"/>
    <w:rsid w:val="00EA37F6"/>
    <w:rsid w:val="00EA3928"/>
    <w:rsid w:val="00EA3FD6"/>
    <w:rsid w:val="00EA426E"/>
    <w:rsid w:val="00EA4289"/>
    <w:rsid w:val="00EA448B"/>
    <w:rsid w:val="00EA4528"/>
    <w:rsid w:val="00EA4974"/>
    <w:rsid w:val="00EA4EC8"/>
    <w:rsid w:val="00EA4F03"/>
    <w:rsid w:val="00EA5810"/>
    <w:rsid w:val="00EA600B"/>
    <w:rsid w:val="00EA6065"/>
    <w:rsid w:val="00EA66E1"/>
    <w:rsid w:val="00EA7144"/>
    <w:rsid w:val="00EA71AA"/>
    <w:rsid w:val="00EA7455"/>
    <w:rsid w:val="00EA7568"/>
    <w:rsid w:val="00EA7B72"/>
    <w:rsid w:val="00EB0A13"/>
    <w:rsid w:val="00EB1084"/>
    <w:rsid w:val="00EB11CF"/>
    <w:rsid w:val="00EB196B"/>
    <w:rsid w:val="00EB1BF9"/>
    <w:rsid w:val="00EB1C51"/>
    <w:rsid w:val="00EB21FD"/>
    <w:rsid w:val="00EB2743"/>
    <w:rsid w:val="00EB2758"/>
    <w:rsid w:val="00EB2B5C"/>
    <w:rsid w:val="00EB35F4"/>
    <w:rsid w:val="00EB36EB"/>
    <w:rsid w:val="00EB44B5"/>
    <w:rsid w:val="00EB4C19"/>
    <w:rsid w:val="00EB54CD"/>
    <w:rsid w:val="00EB54F7"/>
    <w:rsid w:val="00EB56A9"/>
    <w:rsid w:val="00EB678A"/>
    <w:rsid w:val="00EB6FF4"/>
    <w:rsid w:val="00EB717B"/>
    <w:rsid w:val="00EB7245"/>
    <w:rsid w:val="00EB72E2"/>
    <w:rsid w:val="00EB771F"/>
    <w:rsid w:val="00EC013B"/>
    <w:rsid w:val="00EC0844"/>
    <w:rsid w:val="00EC0902"/>
    <w:rsid w:val="00EC0C17"/>
    <w:rsid w:val="00EC0D7E"/>
    <w:rsid w:val="00EC119F"/>
    <w:rsid w:val="00EC13FC"/>
    <w:rsid w:val="00EC1794"/>
    <w:rsid w:val="00EC17F0"/>
    <w:rsid w:val="00EC1E84"/>
    <w:rsid w:val="00EC2952"/>
    <w:rsid w:val="00EC29BE"/>
    <w:rsid w:val="00EC47C9"/>
    <w:rsid w:val="00EC4F62"/>
    <w:rsid w:val="00EC5990"/>
    <w:rsid w:val="00EC60CE"/>
    <w:rsid w:val="00EC6853"/>
    <w:rsid w:val="00EC69E7"/>
    <w:rsid w:val="00EC6DC6"/>
    <w:rsid w:val="00EC6F61"/>
    <w:rsid w:val="00EC741A"/>
    <w:rsid w:val="00EC7CF9"/>
    <w:rsid w:val="00ED0011"/>
    <w:rsid w:val="00ED08C0"/>
    <w:rsid w:val="00ED0ED1"/>
    <w:rsid w:val="00ED131A"/>
    <w:rsid w:val="00ED1378"/>
    <w:rsid w:val="00ED23E5"/>
    <w:rsid w:val="00ED24B7"/>
    <w:rsid w:val="00ED299F"/>
    <w:rsid w:val="00ED2B3B"/>
    <w:rsid w:val="00ED31D5"/>
    <w:rsid w:val="00ED3436"/>
    <w:rsid w:val="00ED3545"/>
    <w:rsid w:val="00ED3644"/>
    <w:rsid w:val="00ED3687"/>
    <w:rsid w:val="00ED36EC"/>
    <w:rsid w:val="00ED3FCA"/>
    <w:rsid w:val="00ED4A68"/>
    <w:rsid w:val="00ED4F01"/>
    <w:rsid w:val="00ED574E"/>
    <w:rsid w:val="00ED5F3C"/>
    <w:rsid w:val="00ED6356"/>
    <w:rsid w:val="00ED63E0"/>
    <w:rsid w:val="00ED683E"/>
    <w:rsid w:val="00ED6B45"/>
    <w:rsid w:val="00ED6BE0"/>
    <w:rsid w:val="00ED6D22"/>
    <w:rsid w:val="00ED7788"/>
    <w:rsid w:val="00ED799F"/>
    <w:rsid w:val="00EE01B0"/>
    <w:rsid w:val="00EE03FE"/>
    <w:rsid w:val="00EE0897"/>
    <w:rsid w:val="00EE0DA9"/>
    <w:rsid w:val="00EE1127"/>
    <w:rsid w:val="00EE12D0"/>
    <w:rsid w:val="00EE1361"/>
    <w:rsid w:val="00EE180C"/>
    <w:rsid w:val="00EE2847"/>
    <w:rsid w:val="00EE2CCA"/>
    <w:rsid w:val="00EE2FB6"/>
    <w:rsid w:val="00EE3197"/>
    <w:rsid w:val="00EE32E4"/>
    <w:rsid w:val="00EE37A7"/>
    <w:rsid w:val="00EE3ED6"/>
    <w:rsid w:val="00EE408B"/>
    <w:rsid w:val="00EE4337"/>
    <w:rsid w:val="00EE4374"/>
    <w:rsid w:val="00EE49BE"/>
    <w:rsid w:val="00EE545C"/>
    <w:rsid w:val="00EE592E"/>
    <w:rsid w:val="00EE6449"/>
    <w:rsid w:val="00EE6AAC"/>
    <w:rsid w:val="00EE7B28"/>
    <w:rsid w:val="00EF02D0"/>
    <w:rsid w:val="00EF072E"/>
    <w:rsid w:val="00EF0AD0"/>
    <w:rsid w:val="00EF0DBF"/>
    <w:rsid w:val="00EF0EE1"/>
    <w:rsid w:val="00EF10F6"/>
    <w:rsid w:val="00EF1652"/>
    <w:rsid w:val="00EF190D"/>
    <w:rsid w:val="00EF2491"/>
    <w:rsid w:val="00EF2574"/>
    <w:rsid w:val="00EF264E"/>
    <w:rsid w:val="00EF2BD5"/>
    <w:rsid w:val="00EF3062"/>
    <w:rsid w:val="00EF3904"/>
    <w:rsid w:val="00EF40B3"/>
    <w:rsid w:val="00EF42BB"/>
    <w:rsid w:val="00EF4D52"/>
    <w:rsid w:val="00EF51D4"/>
    <w:rsid w:val="00EF58A9"/>
    <w:rsid w:val="00EF5D31"/>
    <w:rsid w:val="00EF5F2F"/>
    <w:rsid w:val="00EF6569"/>
    <w:rsid w:val="00EF682D"/>
    <w:rsid w:val="00EF6B85"/>
    <w:rsid w:val="00EF70D7"/>
    <w:rsid w:val="00EF722A"/>
    <w:rsid w:val="00EF7970"/>
    <w:rsid w:val="00EF79D4"/>
    <w:rsid w:val="00EF7AE0"/>
    <w:rsid w:val="00EF7F40"/>
    <w:rsid w:val="00F00145"/>
    <w:rsid w:val="00F009D9"/>
    <w:rsid w:val="00F00EAE"/>
    <w:rsid w:val="00F013E8"/>
    <w:rsid w:val="00F0226A"/>
    <w:rsid w:val="00F0250F"/>
    <w:rsid w:val="00F02619"/>
    <w:rsid w:val="00F02997"/>
    <w:rsid w:val="00F03224"/>
    <w:rsid w:val="00F034DE"/>
    <w:rsid w:val="00F0360E"/>
    <w:rsid w:val="00F04C86"/>
    <w:rsid w:val="00F04E53"/>
    <w:rsid w:val="00F05829"/>
    <w:rsid w:val="00F05F32"/>
    <w:rsid w:val="00F06199"/>
    <w:rsid w:val="00F0675E"/>
    <w:rsid w:val="00F06845"/>
    <w:rsid w:val="00F07092"/>
    <w:rsid w:val="00F0732E"/>
    <w:rsid w:val="00F07928"/>
    <w:rsid w:val="00F07D9B"/>
    <w:rsid w:val="00F10349"/>
    <w:rsid w:val="00F10F1E"/>
    <w:rsid w:val="00F1184F"/>
    <w:rsid w:val="00F1189F"/>
    <w:rsid w:val="00F11DF6"/>
    <w:rsid w:val="00F125A2"/>
    <w:rsid w:val="00F131CE"/>
    <w:rsid w:val="00F134E3"/>
    <w:rsid w:val="00F13D79"/>
    <w:rsid w:val="00F13E35"/>
    <w:rsid w:val="00F13E99"/>
    <w:rsid w:val="00F147BC"/>
    <w:rsid w:val="00F1492B"/>
    <w:rsid w:val="00F14E63"/>
    <w:rsid w:val="00F15703"/>
    <w:rsid w:val="00F15CD2"/>
    <w:rsid w:val="00F15E31"/>
    <w:rsid w:val="00F163E8"/>
    <w:rsid w:val="00F1644D"/>
    <w:rsid w:val="00F16DCE"/>
    <w:rsid w:val="00F17DB1"/>
    <w:rsid w:val="00F20153"/>
    <w:rsid w:val="00F20297"/>
    <w:rsid w:val="00F20568"/>
    <w:rsid w:val="00F20A33"/>
    <w:rsid w:val="00F21B62"/>
    <w:rsid w:val="00F22517"/>
    <w:rsid w:val="00F22A58"/>
    <w:rsid w:val="00F22DAE"/>
    <w:rsid w:val="00F232D3"/>
    <w:rsid w:val="00F23530"/>
    <w:rsid w:val="00F235D2"/>
    <w:rsid w:val="00F240DE"/>
    <w:rsid w:val="00F24352"/>
    <w:rsid w:val="00F2439F"/>
    <w:rsid w:val="00F243FB"/>
    <w:rsid w:val="00F246BD"/>
    <w:rsid w:val="00F2471C"/>
    <w:rsid w:val="00F2473C"/>
    <w:rsid w:val="00F24F87"/>
    <w:rsid w:val="00F258C2"/>
    <w:rsid w:val="00F25D11"/>
    <w:rsid w:val="00F25E02"/>
    <w:rsid w:val="00F25EC9"/>
    <w:rsid w:val="00F267AC"/>
    <w:rsid w:val="00F269EE"/>
    <w:rsid w:val="00F26EF3"/>
    <w:rsid w:val="00F26F15"/>
    <w:rsid w:val="00F27159"/>
    <w:rsid w:val="00F2749F"/>
    <w:rsid w:val="00F2779C"/>
    <w:rsid w:val="00F30B92"/>
    <w:rsid w:val="00F31C66"/>
    <w:rsid w:val="00F32148"/>
    <w:rsid w:val="00F328E7"/>
    <w:rsid w:val="00F336B9"/>
    <w:rsid w:val="00F33DA2"/>
    <w:rsid w:val="00F3417B"/>
    <w:rsid w:val="00F34A1C"/>
    <w:rsid w:val="00F34D73"/>
    <w:rsid w:val="00F34E36"/>
    <w:rsid w:val="00F34EBB"/>
    <w:rsid w:val="00F34FE8"/>
    <w:rsid w:val="00F35292"/>
    <w:rsid w:val="00F36160"/>
    <w:rsid w:val="00F36F2A"/>
    <w:rsid w:val="00F3702A"/>
    <w:rsid w:val="00F37298"/>
    <w:rsid w:val="00F372EB"/>
    <w:rsid w:val="00F37AEB"/>
    <w:rsid w:val="00F37B21"/>
    <w:rsid w:val="00F37B26"/>
    <w:rsid w:val="00F37D28"/>
    <w:rsid w:val="00F37E72"/>
    <w:rsid w:val="00F40972"/>
    <w:rsid w:val="00F40B6F"/>
    <w:rsid w:val="00F40C6C"/>
    <w:rsid w:val="00F40D93"/>
    <w:rsid w:val="00F40DD8"/>
    <w:rsid w:val="00F40E02"/>
    <w:rsid w:val="00F4137F"/>
    <w:rsid w:val="00F416AA"/>
    <w:rsid w:val="00F41995"/>
    <w:rsid w:val="00F41E0E"/>
    <w:rsid w:val="00F423FF"/>
    <w:rsid w:val="00F4259B"/>
    <w:rsid w:val="00F42BF4"/>
    <w:rsid w:val="00F42E7B"/>
    <w:rsid w:val="00F432E4"/>
    <w:rsid w:val="00F435AB"/>
    <w:rsid w:val="00F447C5"/>
    <w:rsid w:val="00F44A0D"/>
    <w:rsid w:val="00F4554E"/>
    <w:rsid w:val="00F4623F"/>
    <w:rsid w:val="00F468A4"/>
    <w:rsid w:val="00F471DE"/>
    <w:rsid w:val="00F473DA"/>
    <w:rsid w:val="00F47EE4"/>
    <w:rsid w:val="00F51078"/>
    <w:rsid w:val="00F51225"/>
    <w:rsid w:val="00F52D62"/>
    <w:rsid w:val="00F53396"/>
    <w:rsid w:val="00F53D26"/>
    <w:rsid w:val="00F548F0"/>
    <w:rsid w:val="00F54B62"/>
    <w:rsid w:val="00F54E04"/>
    <w:rsid w:val="00F54F3E"/>
    <w:rsid w:val="00F55BE5"/>
    <w:rsid w:val="00F55E8D"/>
    <w:rsid w:val="00F560DF"/>
    <w:rsid w:val="00F562CE"/>
    <w:rsid w:val="00F563E9"/>
    <w:rsid w:val="00F5681C"/>
    <w:rsid w:val="00F57BE0"/>
    <w:rsid w:val="00F57CBE"/>
    <w:rsid w:val="00F6001D"/>
    <w:rsid w:val="00F602CD"/>
    <w:rsid w:val="00F6052E"/>
    <w:rsid w:val="00F60A1A"/>
    <w:rsid w:val="00F61688"/>
    <w:rsid w:val="00F61A8C"/>
    <w:rsid w:val="00F61F0F"/>
    <w:rsid w:val="00F6211C"/>
    <w:rsid w:val="00F6243F"/>
    <w:rsid w:val="00F628C9"/>
    <w:rsid w:val="00F62BFF"/>
    <w:rsid w:val="00F62D19"/>
    <w:rsid w:val="00F632E8"/>
    <w:rsid w:val="00F639BD"/>
    <w:rsid w:val="00F640E6"/>
    <w:rsid w:val="00F64373"/>
    <w:rsid w:val="00F64693"/>
    <w:rsid w:val="00F64942"/>
    <w:rsid w:val="00F64B72"/>
    <w:rsid w:val="00F64C1E"/>
    <w:rsid w:val="00F64F56"/>
    <w:rsid w:val="00F662B3"/>
    <w:rsid w:val="00F66583"/>
    <w:rsid w:val="00F66B8F"/>
    <w:rsid w:val="00F66BD2"/>
    <w:rsid w:val="00F67372"/>
    <w:rsid w:val="00F6740F"/>
    <w:rsid w:val="00F67786"/>
    <w:rsid w:val="00F67B0E"/>
    <w:rsid w:val="00F70005"/>
    <w:rsid w:val="00F7005D"/>
    <w:rsid w:val="00F70126"/>
    <w:rsid w:val="00F7034D"/>
    <w:rsid w:val="00F704B3"/>
    <w:rsid w:val="00F7056C"/>
    <w:rsid w:val="00F70A83"/>
    <w:rsid w:val="00F721A3"/>
    <w:rsid w:val="00F7274C"/>
    <w:rsid w:val="00F737B0"/>
    <w:rsid w:val="00F740ED"/>
    <w:rsid w:val="00F744D5"/>
    <w:rsid w:val="00F7470E"/>
    <w:rsid w:val="00F749D5"/>
    <w:rsid w:val="00F75003"/>
    <w:rsid w:val="00F755D4"/>
    <w:rsid w:val="00F75803"/>
    <w:rsid w:val="00F75A14"/>
    <w:rsid w:val="00F75E2C"/>
    <w:rsid w:val="00F75ED1"/>
    <w:rsid w:val="00F75F75"/>
    <w:rsid w:val="00F7602D"/>
    <w:rsid w:val="00F76099"/>
    <w:rsid w:val="00F760EC"/>
    <w:rsid w:val="00F76142"/>
    <w:rsid w:val="00F76227"/>
    <w:rsid w:val="00F76480"/>
    <w:rsid w:val="00F76C57"/>
    <w:rsid w:val="00F7704C"/>
    <w:rsid w:val="00F77185"/>
    <w:rsid w:val="00F7728A"/>
    <w:rsid w:val="00F7746B"/>
    <w:rsid w:val="00F77E14"/>
    <w:rsid w:val="00F80013"/>
    <w:rsid w:val="00F80CC2"/>
    <w:rsid w:val="00F81311"/>
    <w:rsid w:val="00F81393"/>
    <w:rsid w:val="00F814DF"/>
    <w:rsid w:val="00F817A5"/>
    <w:rsid w:val="00F81AE8"/>
    <w:rsid w:val="00F821AB"/>
    <w:rsid w:val="00F8220D"/>
    <w:rsid w:val="00F82673"/>
    <w:rsid w:val="00F826AF"/>
    <w:rsid w:val="00F827B5"/>
    <w:rsid w:val="00F82C1C"/>
    <w:rsid w:val="00F82D5C"/>
    <w:rsid w:val="00F82E1F"/>
    <w:rsid w:val="00F8308C"/>
    <w:rsid w:val="00F8312E"/>
    <w:rsid w:val="00F83893"/>
    <w:rsid w:val="00F8391E"/>
    <w:rsid w:val="00F83DF2"/>
    <w:rsid w:val="00F85A61"/>
    <w:rsid w:val="00F85EF9"/>
    <w:rsid w:val="00F85F07"/>
    <w:rsid w:val="00F8617C"/>
    <w:rsid w:val="00F865CA"/>
    <w:rsid w:val="00F87031"/>
    <w:rsid w:val="00F872A1"/>
    <w:rsid w:val="00F872AF"/>
    <w:rsid w:val="00F879BE"/>
    <w:rsid w:val="00F90165"/>
    <w:rsid w:val="00F90742"/>
    <w:rsid w:val="00F916E8"/>
    <w:rsid w:val="00F91ADC"/>
    <w:rsid w:val="00F91B18"/>
    <w:rsid w:val="00F91CB7"/>
    <w:rsid w:val="00F92035"/>
    <w:rsid w:val="00F9230A"/>
    <w:rsid w:val="00F9269D"/>
    <w:rsid w:val="00F926C6"/>
    <w:rsid w:val="00F92808"/>
    <w:rsid w:val="00F9347A"/>
    <w:rsid w:val="00F94898"/>
    <w:rsid w:val="00F94CEB"/>
    <w:rsid w:val="00F94EC6"/>
    <w:rsid w:val="00F952FA"/>
    <w:rsid w:val="00F95A43"/>
    <w:rsid w:val="00F95ED2"/>
    <w:rsid w:val="00F95FEB"/>
    <w:rsid w:val="00F96386"/>
    <w:rsid w:val="00F965E5"/>
    <w:rsid w:val="00F97235"/>
    <w:rsid w:val="00F976A7"/>
    <w:rsid w:val="00F97939"/>
    <w:rsid w:val="00FA0081"/>
    <w:rsid w:val="00FA0748"/>
    <w:rsid w:val="00FA0C5A"/>
    <w:rsid w:val="00FA0CBD"/>
    <w:rsid w:val="00FA0DFA"/>
    <w:rsid w:val="00FA12BE"/>
    <w:rsid w:val="00FA1F41"/>
    <w:rsid w:val="00FA2C44"/>
    <w:rsid w:val="00FA3702"/>
    <w:rsid w:val="00FA396D"/>
    <w:rsid w:val="00FA3B80"/>
    <w:rsid w:val="00FA400E"/>
    <w:rsid w:val="00FA42A0"/>
    <w:rsid w:val="00FA4766"/>
    <w:rsid w:val="00FA4A85"/>
    <w:rsid w:val="00FA587F"/>
    <w:rsid w:val="00FA65D9"/>
    <w:rsid w:val="00FA6807"/>
    <w:rsid w:val="00FA6EB7"/>
    <w:rsid w:val="00FA6F1D"/>
    <w:rsid w:val="00FA6FF3"/>
    <w:rsid w:val="00FA71C3"/>
    <w:rsid w:val="00FA7203"/>
    <w:rsid w:val="00FA7647"/>
    <w:rsid w:val="00FA798F"/>
    <w:rsid w:val="00FA7D5B"/>
    <w:rsid w:val="00FA7F18"/>
    <w:rsid w:val="00FB0675"/>
    <w:rsid w:val="00FB0B54"/>
    <w:rsid w:val="00FB0B94"/>
    <w:rsid w:val="00FB0BF6"/>
    <w:rsid w:val="00FB146B"/>
    <w:rsid w:val="00FB152D"/>
    <w:rsid w:val="00FB1615"/>
    <w:rsid w:val="00FB2020"/>
    <w:rsid w:val="00FB2290"/>
    <w:rsid w:val="00FB2526"/>
    <w:rsid w:val="00FB29A5"/>
    <w:rsid w:val="00FB2AFB"/>
    <w:rsid w:val="00FB3829"/>
    <w:rsid w:val="00FB3BE5"/>
    <w:rsid w:val="00FB4379"/>
    <w:rsid w:val="00FB4FEE"/>
    <w:rsid w:val="00FB50F9"/>
    <w:rsid w:val="00FB566B"/>
    <w:rsid w:val="00FB5B0D"/>
    <w:rsid w:val="00FB5FC0"/>
    <w:rsid w:val="00FB6111"/>
    <w:rsid w:val="00FB6266"/>
    <w:rsid w:val="00FB66A6"/>
    <w:rsid w:val="00FB6CE4"/>
    <w:rsid w:val="00FB6DFB"/>
    <w:rsid w:val="00FB72E4"/>
    <w:rsid w:val="00FB7A74"/>
    <w:rsid w:val="00FB7E16"/>
    <w:rsid w:val="00FC00A3"/>
    <w:rsid w:val="00FC0282"/>
    <w:rsid w:val="00FC0A8D"/>
    <w:rsid w:val="00FC1318"/>
    <w:rsid w:val="00FC20C0"/>
    <w:rsid w:val="00FC26D8"/>
    <w:rsid w:val="00FC27BD"/>
    <w:rsid w:val="00FC28EA"/>
    <w:rsid w:val="00FC2B11"/>
    <w:rsid w:val="00FC3189"/>
    <w:rsid w:val="00FC375F"/>
    <w:rsid w:val="00FC3B15"/>
    <w:rsid w:val="00FC3EC9"/>
    <w:rsid w:val="00FC40FD"/>
    <w:rsid w:val="00FC4319"/>
    <w:rsid w:val="00FC4B56"/>
    <w:rsid w:val="00FC4C94"/>
    <w:rsid w:val="00FC4DF9"/>
    <w:rsid w:val="00FC50B7"/>
    <w:rsid w:val="00FC51D7"/>
    <w:rsid w:val="00FC5D73"/>
    <w:rsid w:val="00FC6037"/>
    <w:rsid w:val="00FC648E"/>
    <w:rsid w:val="00FC652D"/>
    <w:rsid w:val="00FC6811"/>
    <w:rsid w:val="00FC68A5"/>
    <w:rsid w:val="00FC6B2C"/>
    <w:rsid w:val="00FC731C"/>
    <w:rsid w:val="00FD03D9"/>
    <w:rsid w:val="00FD0692"/>
    <w:rsid w:val="00FD0975"/>
    <w:rsid w:val="00FD0A7C"/>
    <w:rsid w:val="00FD0CC5"/>
    <w:rsid w:val="00FD0CC8"/>
    <w:rsid w:val="00FD0D79"/>
    <w:rsid w:val="00FD1EF6"/>
    <w:rsid w:val="00FD2179"/>
    <w:rsid w:val="00FD2603"/>
    <w:rsid w:val="00FD2A7E"/>
    <w:rsid w:val="00FD2C19"/>
    <w:rsid w:val="00FD2C76"/>
    <w:rsid w:val="00FD2E6B"/>
    <w:rsid w:val="00FD2F06"/>
    <w:rsid w:val="00FD2FB7"/>
    <w:rsid w:val="00FD304F"/>
    <w:rsid w:val="00FD306A"/>
    <w:rsid w:val="00FD309D"/>
    <w:rsid w:val="00FD3874"/>
    <w:rsid w:val="00FD41A3"/>
    <w:rsid w:val="00FD41B3"/>
    <w:rsid w:val="00FD4B0D"/>
    <w:rsid w:val="00FD5452"/>
    <w:rsid w:val="00FD562C"/>
    <w:rsid w:val="00FD566E"/>
    <w:rsid w:val="00FD5A92"/>
    <w:rsid w:val="00FD6865"/>
    <w:rsid w:val="00FD6907"/>
    <w:rsid w:val="00FD75F1"/>
    <w:rsid w:val="00FD7756"/>
    <w:rsid w:val="00FD7ECD"/>
    <w:rsid w:val="00FE019C"/>
    <w:rsid w:val="00FE03F7"/>
    <w:rsid w:val="00FE0B5A"/>
    <w:rsid w:val="00FE108C"/>
    <w:rsid w:val="00FE17CA"/>
    <w:rsid w:val="00FE1D2E"/>
    <w:rsid w:val="00FE21B1"/>
    <w:rsid w:val="00FE2866"/>
    <w:rsid w:val="00FE3038"/>
    <w:rsid w:val="00FE3057"/>
    <w:rsid w:val="00FE35D6"/>
    <w:rsid w:val="00FE3A0A"/>
    <w:rsid w:val="00FE3BAB"/>
    <w:rsid w:val="00FE3E2D"/>
    <w:rsid w:val="00FE47B6"/>
    <w:rsid w:val="00FE5176"/>
    <w:rsid w:val="00FE519C"/>
    <w:rsid w:val="00FE5C67"/>
    <w:rsid w:val="00FE5DA5"/>
    <w:rsid w:val="00FE5FDA"/>
    <w:rsid w:val="00FE606D"/>
    <w:rsid w:val="00FE612A"/>
    <w:rsid w:val="00FE654C"/>
    <w:rsid w:val="00FE675F"/>
    <w:rsid w:val="00FE695A"/>
    <w:rsid w:val="00FE7FB1"/>
    <w:rsid w:val="00FF0347"/>
    <w:rsid w:val="00FF15FD"/>
    <w:rsid w:val="00FF16D4"/>
    <w:rsid w:val="00FF16E8"/>
    <w:rsid w:val="00FF18EA"/>
    <w:rsid w:val="00FF1A1C"/>
    <w:rsid w:val="00FF1FA9"/>
    <w:rsid w:val="00FF1FD1"/>
    <w:rsid w:val="00FF23BA"/>
    <w:rsid w:val="00FF25B1"/>
    <w:rsid w:val="00FF30C7"/>
    <w:rsid w:val="00FF3503"/>
    <w:rsid w:val="00FF38CD"/>
    <w:rsid w:val="00FF440B"/>
    <w:rsid w:val="00FF49F3"/>
    <w:rsid w:val="00FF5024"/>
    <w:rsid w:val="00FF5D34"/>
    <w:rsid w:val="00FF672B"/>
    <w:rsid w:val="00FF711B"/>
    <w:rsid w:val="00FF720F"/>
    <w:rsid w:val="00FF75E7"/>
    <w:rsid w:val="00FF777F"/>
    <w:rsid w:val="00FF7B74"/>
    <w:rsid w:val="01073F1A"/>
    <w:rsid w:val="011811A1"/>
    <w:rsid w:val="011F41B3"/>
    <w:rsid w:val="019513C5"/>
    <w:rsid w:val="019C6D72"/>
    <w:rsid w:val="01AD7D26"/>
    <w:rsid w:val="01B3275A"/>
    <w:rsid w:val="01BF35E0"/>
    <w:rsid w:val="01C25632"/>
    <w:rsid w:val="01CB2D71"/>
    <w:rsid w:val="01CF2373"/>
    <w:rsid w:val="01D037FD"/>
    <w:rsid w:val="01D92544"/>
    <w:rsid w:val="01F57B64"/>
    <w:rsid w:val="020A1E43"/>
    <w:rsid w:val="021A27AB"/>
    <w:rsid w:val="02203B4A"/>
    <w:rsid w:val="023E0E6E"/>
    <w:rsid w:val="0245181D"/>
    <w:rsid w:val="024842FB"/>
    <w:rsid w:val="024F0DD6"/>
    <w:rsid w:val="02546636"/>
    <w:rsid w:val="026147BF"/>
    <w:rsid w:val="026E0D49"/>
    <w:rsid w:val="02803B12"/>
    <w:rsid w:val="02805FA4"/>
    <w:rsid w:val="02B42731"/>
    <w:rsid w:val="02BD4987"/>
    <w:rsid w:val="02E37041"/>
    <w:rsid w:val="02E929C7"/>
    <w:rsid w:val="02ED3547"/>
    <w:rsid w:val="02F61C0C"/>
    <w:rsid w:val="03006C9B"/>
    <w:rsid w:val="03077B89"/>
    <w:rsid w:val="030E7406"/>
    <w:rsid w:val="03174F3D"/>
    <w:rsid w:val="03306F17"/>
    <w:rsid w:val="03395334"/>
    <w:rsid w:val="033B75E7"/>
    <w:rsid w:val="03440A5A"/>
    <w:rsid w:val="03461C5F"/>
    <w:rsid w:val="03475289"/>
    <w:rsid w:val="03497D5C"/>
    <w:rsid w:val="034B2E38"/>
    <w:rsid w:val="034D22F1"/>
    <w:rsid w:val="038A3A0E"/>
    <w:rsid w:val="03987ACC"/>
    <w:rsid w:val="03A67456"/>
    <w:rsid w:val="03C65EF7"/>
    <w:rsid w:val="03EC461B"/>
    <w:rsid w:val="03F71504"/>
    <w:rsid w:val="04051AFF"/>
    <w:rsid w:val="04291CE5"/>
    <w:rsid w:val="043239C6"/>
    <w:rsid w:val="043D50EF"/>
    <w:rsid w:val="04534132"/>
    <w:rsid w:val="04585980"/>
    <w:rsid w:val="0464595D"/>
    <w:rsid w:val="04726086"/>
    <w:rsid w:val="048156B8"/>
    <w:rsid w:val="0486574D"/>
    <w:rsid w:val="048A55A8"/>
    <w:rsid w:val="04A15556"/>
    <w:rsid w:val="04A53CFD"/>
    <w:rsid w:val="04C64CE0"/>
    <w:rsid w:val="04D27165"/>
    <w:rsid w:val="04DA7AA0"/>
    <w:rsid w:val="04FA6973"/>
    <w:rsid w:val="05037190"/>
    <w:rsid w:val="05041525"/>
    <w:rsid w:val="051909BA"/>
    <w:rsid w:val="05314C23"/>
    <w:rsid w:val="053D3562"/>
    <w:rsid w:val="05431A7B"/>
    <w:rsid w:val="054479DB"/>
    <w:rsid w:val="054C72EA"/>
    <w:rsid w:val="055E4D94"/>
    <w:rsid w:val="056A7E44"/>
    <w:rsid w:val="059379FF"/>
    <w:rsid w:val="05CE01C7"/>
    <w:rsid w:val="05D00958"/>
    <w:rsid w:val="05D503FA"/>
    <w:rsid w:val="05F056DC"/>
    <w:rsid w:val="05F63182"/>
    <w:rsid w:val="05F86993"/>
    <w:rsid w:val="05FC41BD"/>
    <w:rsid w:val="05FD170F"/>
    <w:rsid w:val="060301B2"/>
    <w:rsid w:val="06122FB4"/>
    <w:rsid w:val="062038E2"/>
    <w:rsid w:val="06222669"/>
    <w:rsid w:val="063D34D2"/>
    <w:rsid w:val="064142A6"/>
    <w:rsid w:val="06725A0F"/>
    <w:rsid w:val="0689311D"/>
    <w:rsid w:val="068C1403"/>
    <w:rsid w:val="06B75848"/>
    <w:rsid w:val="06D20DFB"/>
    <w:rsid w:val="06E4782C"/>
    <w:rsid w:val="06E635A4"/>
    <w:rsid w:val="06EB30C5"/>
    <w:rsid w:val="06ED5932"/>
    <w:rsid w:val="070C7D77"/>
    <w:rsid w:val="070E1EB0"/>
    <w:rsid w:val="07201CA4"/>
    <w:rsid w:val="07294901"/>
    <w:rsid w:val="072A2D6B"/>
    <w:rsid w:val="073B2209"/>
    <w:rsid w:val="073F3201"/>
    <w:rsid w:val="073F4924"/>
    <w:rsid w:val="076264F5"/>
    <w:rsid w:val="07666DE4"/>
    <w:rsid w:val="077D4D0C"/>
    <w:rsid w:val="07996868"/>
    <w:rsid w:val="07DC70E1"/>
    <w:rsid w:val="07E5283F"/>
    <w:rsid w:val="07E81E5D"/>
    <w:rsid w:val="07EA7668"/>
    <w:rsid w:val="081A7CC8"/>
    <w:rsid w:val="08365E65"/>
    <w:rsid w:val="08775EF8"/>
    <w:rsid w:val="08A43D66"/>
    <w:rsid w:val="08BF20D9"/>
    <w:rsid w:val="08E43B13"/>
    <w:rsid w:val="09023F19"/>
    <w:rsid w:val="091D4874"/>
    <w:rsid w:val="09215F64"/>
    <w:rsid w:val="0922103C"/>
    <w:rsid w:val="0925299D"/>
    <w:rsid w:val="09273A4C"/>
    <w:rsid w:val="09385817"/>
    <w:rsid w:val="09633E01"/>
    <w:rsid w:val="09716F83"/>
    <w:rsid w:val="09937BDD"/>
    <w:rsid w:val="09945899"/>
    <w:rsid w:val="09952D27"/>
    <w:rsid w:val="099C6FAC"/>
    <w:rsid w:val="09A51D4C"/>
    <w:rsid w:val="09C65122"/>
    <w:rsid w:val="09D431ED"/>
    <w:rsid w:val="09D83D58"/>
    <w:rsid w:val="09F24AD7"/>
    <w:rsid w:val="0A014219"/>
    <w:rsid w:val="0A1B65AC"/>
    <w:rsid w:val="0A506BFE"/>
    <w:rsid w:val="0A594EF4"/>
    <w:rsid w:val="0A674C60"/>
    <w:rsid w:val="0A6D34F2"/>
    <w:rsid w:val="0A755609"/>
    <w:rsid w:val="0A875EE9"/>
    <w:rsid w:val="0AB86046"/>
    <w:rsid w:val="0ABA63E3"/>
    <w:rsid w:val="0ABA6B0C"/>
    <w:rsid w:val="0AC178C6"/>
    <w:rsid w:val="0AD91922"/>
    <w:rsid w:val="0AD94C55"/>
    <w:rsid w:val="0ADC7C10"/>
    <w:rsid w:val="0AE14581"/>
    <w:rsid w:val="0AF75914"/>
    <w:rsid w:val="0B0B4B2B"/>
    <w:rsid w:val="0B420FC5"/>
    <w:rsid w:val="0B6657C2"/>
    <w:rsid w:val="0B7373D0"/>
    <w:rsid w:val="0B873146"/>
    <w:rsid w:val="0B984A01"/>
    <w:rsid w:val="0BA12FF6"/>
    <w:rsid w:val="0BBC6914"/>
    <w:rsid w:val="0BCA5242"/>
    <w:rsid w:val="0BCF6F4F"/>
    <w:rsid w:val="0BD6531A"/>
    <w:rsid w:val="0BDE126E"/>
    <w:rsid w:val="0BDE6248"/>
    <w:rsid w:val="0BE43873"/>
    <w:rsid w:val="0BE559DA"/>
    <w:rsid w:val="0BE77A2C"/>
    <w:rsid w:val="0BF11F0B"/>
    <w:rsid w:val="0BFD57B1"/>
    <w:rsid w:val="0C264442"/>
    <w:rsid w:val="0C4D19CF"/>
    <w:rsid w:val="0C4F369E"/>
    <w:rsid w:val="0C573722"/>
    <w:rsid w:val="0C882A07"/>
    <w:rsid w:val="0C8C5737"/>
    <w:rsid w:val="0CAA5073"/>
    <w:rsid w:val="0CC47EE3"/>
    <w:rsid w:val="0CCF35E7"/>
    <w:rsid w:val="0CDE4135"/>
    <w:rsid w:val="0CE62D02"/>
    <w:rsid w:val="0D0A269D"/>
    <w:rsid w:val="0D0C5A69"/>
    <w:rsid w:val="0D165505"/>
    <w:rsid w:val="0D223BBC"/>
    <w:rsid w:val="0D2A7D16"/>
    <w:rsid w:val="0D344BB7"/>
    <w:rsid w:val="0DE34399"/>
    <w:rsid w:val="0DF43FA8"/>
    <w:rsid w:val="0E274A62"/>
    <w:rsid w:val="0E317281"/>
    <w:rsid w:val="0E3226F2"/>
    <w:rsid w:val="0E362232"/>
    <w:rsid w:val="0E3E5A73"/>
    <w:rsid w:val="0E4E22F4"/>
    <w:rsid w:val="0E632C42"/>
    <w:rsid w:val="0E721B74"/>
    <w:rsid w:val="0E801243"/>
    <w:rsid w:val="0E8B68BD"/>
    <w:rsid w:val="0E9E4764"/>
    <w:rsid w:val="0E9F4445"/>
    <w:rsid w:val="0EBE57AA"/>
    <w:rsid w:val="0ED21947"/>
    <w:rsid w:val="0ED60FE6"/>
    <w:rsid w:val="0EF27E74"/>
    <w:rsid w:val="0F1B5DB5"/>
    <w:rsid w:val="0F3F1681"/>
    <w:rsid w:val="0F4D300B"/>
    <w:rsid w:val="0F503425"/>
    <w:rsid w:val="0F641C6D"/>
    <w:rsid w:val="0F7030F7"/>
    <w:rsid w:val="0F7120A8"/>
    <w:rsid w:val="0F781DAE"/>
    <w:rsid w:val="0FAC2C8E"/>
    <w:rsid w:val="0FB81B0E"/>
    <w:rsid w:val="0FBB5744"/>
    <w:rsid w:val="0FC4376D"/>
    <w:rsid w:val="0FD50659"/>
    <w:rsid w:val="0FE76FBB"/>
    <w:rsid w:val="0FEC6395"/>
    <w:rsid w:val="0FF95379"/>
    <w:rsid w:val="100D3396"/>
    <w:rsid w:val="100F3027"/>
    <w:rsid w:val="104A1861"/>
    <w:rsid w:val="105214BA"/>
    <w:rsid w:val="108F4D3B"/>
    <w:rsid w:val="10A037D0"/>
    <w:rsid w:val="10A81342"/>
    <w:rsid w:val="10B5231C"/>
    <w:rsid w:val="10BC7123"/>
    <w:rsid w:val="10BD60DC"/>
    <w:rsid w:val="10D44C23"/>
    <w:rsid w:val="10EA3208"/>
    <w:rsid w:val="10FC5546"/>
    <w:rsid w:val="111E5122"/>
    <w:rsid w:val="113021F9"/>
    <w:rsid w:val="11676519"/>
    <w:rsid w:val="117159EE"/>
    <w:rsid w:val="11962328"/>
    <w:rsid w:val="11BE3911"/>
    <w:rsid w:val="11C8356C"/>
    <w:rsid w:val="11C873DF"/>
    <w:rsid w:val="11D010D8"/>
    <w:rsid w:val="11D34725"/>
    <w:rsid w:val="11FA2738"/>
    <w:rsid w:val="11FF551A"/>
    <w:rsid w:val="12434916"/>
    <w:rsid w:val="12452872"/>
    <w:rsid w:val="12486EC1"/>
    <w:rsid w:val="124B2869"/>
    <w:rsid w:val="1261134C"/>
    <w:rsid w:val="126B2A88"/>
    <w:rsid w:val="128045B8"/>
    <w:rsid w:val="129B5E68"/>
    <w:rsid w:val="12A143EF"/>
    <w:rsid w:val="12A80D67"/>
    <w:rsid w:val="12DF0C8D"/>
    <w:rsid w:val="12F57779"/>
    <w:rsid w:val="12FC7CDE"/>
    <w:rsid w:val="13036D71"/>
    <w:rsid w:val="130465D1"/>
    <w:rsid w:val="130F0DDE"/>
    <w:rsid w:val="133154E5"/>
    <w:rsid w:val="1338673E"/>
    <w:rsid w:val="133E657D"/>
    <w:rsid w:val="13444A13"/>
    <w:rsid w:val="135B1690"/>
    <w:rsid w:val="136336C1"/>
    <w:rsid w:val="136847AD"/>
    <w:rsid w:val="136A112E"/>
    <w:rsid w:val="136C1257"/>
    <w:rsid w:val="13860791"/>
    <w:rsid w:val="138959E3"/>
    <w:rsid w:val="13B05239"/>
    <w:rsid w:val="13D2020B"/>
    <w:rsid w:val="13DD06B1"/>
    <w:rsid w:val="13EB4014"/>
    <w:rsid w:val="13F02E8E"/>
    <w:rsid w:val="140F41DF"/>
    <w:rsid w:val="142D2537"/>
    <w:rsid w:val="143C38C1"/>
    <w:rsid w:val="143E17A8"/>
    <w:rsid w:val="14536EE9"/>
    <w:rsid w:val="145A1FD1"/>
    <w:rsid w:val="145C2891"/>
    <w:rsid w:val="147C5547"/>
    <w:rsid w:val="148B578A"/>
    <w:rsid w:val="14910C87"/>
    <w:rsid w:val="14937760"/>
    <w:rsid w:val="14953511"/>
    <w:rsid w:val="14AC7BC7"/>
    <w:rsid w:val="14B649FA"/>
    <w:rsid w:val="14B67029"/>
    <w:rsid w:val="14C35ED9"/>
    <w:rsid w:val="14CD7B51"/>
    <w:rsid w:val="14EC299B"/>
    <w:rsid w:val="14FF1A76"/>
    <w:rsid w:val="15001826"/>
    <w:rsid w:val="15061917"/>
    <w:rsid w:val="15136043"/>
    <w:rsid w:val="151562DF"/>
    <w:rsid w:val="15157009"/>
    <w:rsid w:val="15406B25"/>
    <w:rsid w:val="154B458A"/>
    <w:rsid w:val="15571903"/>
    <w:rsid w:val="155B515D"/>
    <w:rsid w:val="15860445"/>
    <w:rsid w:val="15B30726"/>
    <w:rsid w:val="15E16A43"/>
    <w:rsid w:val="15FC4494"/>
    <w:rsid w:val="160939A2"/>
    <w:rsid w:val="16143288"/>
    <w:rsid w:val="161E73D5"/>
    <w:rsid w:val="16290B3A"/>
    <w:rsid w:val="164107F7"/>
    <w:rsid w:val="16414543"/>
    <w:rsid w:val="16447DF1"/>
    <w:rsid w:val="16595107"/>
    <w:rsid w:val="16611E23"/>
    <w:rsid w:val="16A2607B"/>
    <w:rsid w:val="16B60519"/>
    <w:rsid w:val="16D12B93"/>
    <w:rsid w:val="16DA6CEC"/>
    <w:rsid w:val="16E5341F"/>
    <w:rsid w:val="16F775A0"/>
    <w:rsid w:val="17011D34"/>
    <w:rsid w:val="17096CF1"/>
    <w:rsid w:val="172152CD"/>
    <w:rsid w:val="172728E2"/>
    <w:rsid w:val="17591D1C"/>
    <w:rsid w:val="175D3AA1"/>
    <w:rsid w:val="175F5361"/>
    <w:rsid w:val="17704309"/>
    <w:rsid w:val="17C42042"/>
    <w:rsid w:val="17D24E53"/>
    <w:rsid w:val="17EB5BE2"/>
    <w:rsid w:val="18025BBB"/>
    <w:rsid w:val="1803106C"/>
    <w:rsid w:val="181949BB"/>
    <w:rsid w:val="182015C8"/>
    <w:rsid w:val="18237C42"/>
    <w:rsid w:val="182757CA"/>
    <w:rsid w:val="18314540"/>
    <w:rsid w:val="183833FA"/>
    <w:rsid w:val="183B5956"/>
    <w:rsid w:val="184E5521"/>
    <w:rsid w:val="185646EE"/>
    <w:rsid w:val="18626D63"/>
    <w:rsid w:val="18891FE1"/>
    <w:rsid w:val="188C2855"/>
    <w:rsid w:val="18900ED2"/>
    <w:rsid w:val="18B00C69"/>
    <w:rsid w:val="18B854ED"/>
    <w:rsid w:val="18BC11D7"/>
    <w:rsid w:val="18C2291E"/>
    <w:rsid w:val="18E322A5"/>
    <w:rsid w:val="18E43608"/>
    <w:rsid w:val="1905771A"/>
    <w:rsid w:val="19314ABB"/>
    <w:rsid w:val="1948636D"/>
    <w:rsid w:val="19541699"/>
    <w:rsid w:val="19592E80"/>
    <w:rsid w:val="19625ED7"/>
    <w:rsid w:val="19627625"/>
    <w:rsid w:val="198132A4"/>
    <w:rsid w:val="19823667"/>
    <w:rsid w:val="198608B6"/>
    <w:rsid w:val="19CB6EA7"/>
    <w:rsid w:val="19D35B5E"/>
    <w:rsid w:val="19D450E6"/>
    <w:rsid w:val="19E443D9"/>
    <w:rsid w:val="19E8224E"/>
    <w:rsid w:val="19F45BB5"/>
    <w:rsid w:val="1A0758B3"/>
    <w:rsid w:val="1A2056E7"/>
    <w:rsid w:val="1A3D4951"/>
    <w:rsid w:val="1A497C7A"/>
    <w:rsid w:val="1A4B3588"/>
    <w:rsid w:val="1A4C67FC"/>
    <w:rsid w:val="1A5328A6"/>
    <w:rsid w:val="1A6274D4"/>
    <w:rsid w:val="1A7404E3"/>
    <w:rsid w:val="1A79543E"/>
    <w:rsid w:val="1A8117F9"/>
    <w:rsid w:val="1A966F7C"/>
    <w:rsid w:val="1AB8500F"/>
    <w:rsid w:val="1AD86B67"/>
    <w:rsid w:val="1AF702F3"/>
    <w:rsid w:val="1AF764B8"/>
    <w:rsid w:val="1B0150C9"/>
    <w:rsid w:val="1B18764C"/>
    <w:rsid w:val="1B1F54DF"/>
    <w:rsid w:val="1B380258"/>
    <w:rsid w:val="1B4A1443"/>
    <w:rsid w:val="1B7B0307"/>
    <w:rsid w:val="1B7F1B71"/>
    <w:rsid w:val="1B80131A"/>
    <w:rsid w:val="1B8E5005"/>
    <w:rsid w:val="1BBD0CD0"/>
    <w:rsid w:val="1BC804DA"/>
    <w:rsid w:val="1BD5797C"/>
    <w:rsid w:val="1BDA3ABF"/>
    <w:rsid w:val="1BE85D46"/>
    <w:rsid w:val="1BF03572"/>
    <w:rsid w:val="1BF86D93"/>
    <w:rsid w:val="1C17500B"/>
    <w:rsid w:val="1C256429"/>
    <w:rsid w:val="1C2B74F1"/>
    <w:rsid w:val="1C342538"/>
    <w:rsid w:val="1C361CB5"/>
    <w:rsid w:val="1C3861F8"/>
    <w:rsid w:val="1C4B1778"/>
    <w:rsid w:val="1C7C0DBC"/>
    <w:rsid w:val="1C814778"/>
    <w:rsid w:val="1C8B6116"/>
    <w:rsid w:val="1C8D6F0B"/>
    <w:rsid w:val="1CA27672"/>
    <w:rsid w:val="1CAE4627"/>
    <w:rsid w:val="1CB21F44"/>
    <w:rsid w:val="1CB45BC8"/>
    <w:rsid w:val="1CCA443C"/>
    <w:rsid w:val="1CCB2231"/>
    <w:rsid w:val="1CDD63E9"/>
    <w:rsid w:val="1CE420FD"/>
    <w:rsid w:val="1D0E0606"/>
    <w:rsid w:val="1D263EB1"/>
    <w:rsid w:val="1D4F32AC"/>
    <w:rsid w:val="1D554B87"/>
    <w:rsid w:val="1D6869F6"/>
    <w:rsid w:val="1D7970B9"/>
    <w:rsid w:val="1D861AF4"/>
    <w:rsid w:val="1DAB47A7"/>
    <w:rsid w:val="1DB54FCA"/>
    <w:rsid w:val="1DC90387"/>
    <w:rsid w:val="1DD054A9"/>
    <w:rsid w:val="1DE303E5"/>
    <w:rsid w:val="1DE653AC"/>
    <w:rsid w:val="1DEE0F54"/>
    <w:rsid w:val="1E087E4C"/>
    <w:rsid w:val="1E2A70F0"/>
    <w:rsid w:val="1E32097F"/>
    <w:rsid w:val="1E427C92"/>
    <w:rsid w:val="1E4E7FA0"/>
    <w:rsid w:val="1E543091"/>
    <w:rsid w:val="1E566EA3"/>
    <w:rsid w:val="1E697076"/>
    <w:rsid w:val="1E6B2B00"/>
    <w:rsid w:val="1E6C1DCE"/>
    <w:rsid w:val="1E7F010E"/>
    <w:rsid w:val="1E8802F9"/>
    <w:rsid w:val="1E9724C0"/>
    <w:rsid w:val="1EA310A9"/>
    <w:rsid w:val="1EAD01FE"/>
    <w:rsid w:val="1EB743E7"/>
    <w:rsid w:val="1EBD0911"/>
    <w:rsid w:val="1ED33894"/>
    <w:rsid w:val="1EDA2042"/>
    <w:rsid w:val="1F0617BD"/>
    <w:rsid w:val="1F2A69A4"/>
    <w:rsid w:val="1F4065C3"/>
    <w:rsid w:val="1F523D9D"/>
    <w:rsid w:val="1F53499E"/>
    <w:rsid w:val="1F7C3450"/>
    <w:rsid w:val="1F904F21"/>
    <w:rsid w:val="1FB005BC"/>
    <w:rsid w:val="1FD57499"/>
    <w:rsid w:val="1FF24910"/>
    <w:rsid w:val="201F4301"/>
    <w:rsid w:val="20275ABB"/>
    <w:rsid w:val="202F7912"/>
    <w:rsid w:val="204A653C"/>
    <w:rsid w:val="20731DE1"/>
    <w:rsid w:val="20A00ECF"/>
    <w:rsid w:val="20A07106"/>
    <w:rsid w:val="20B63B8F"/>
    <w:rsid w:val="20D15498"/>
    <w:rsid w:val="20E37F99"/>
    <w:rsid w:val="20F656DD"/>
    <w:rsid w:val="20F904AC"/>
    <w:rsid w:val="20FF1E30"/>
    <w:rsid w:val="2122308F"/>
    <w:rsid w:val="213A49D8"/>
    <w:rsid w:val="214178FD"/>
    <w:rsid w:val="21566C39"/>
    <w:rsid w:val="215D3B9A"/>
    <w:rsid w:val="21685F7E"/>
    <w:rsid w:val="2189352D"/>
    <w:rsid w:val="218B16FC"/>
    <w:rsid w:val="218C20AC"/>
    <w:rsid w:val="21917714"/>
    <w:rsid w:val="21A56B79"/>
    <w:rsid w:val="21B21DDD"/>
    <w:rsid w:val="21BB0B93"/>
    <w:rsid w:val="21C1027E"/>
    <w:rsid w:val="21C83B7A"/>
    <w:rsid w:val="22063F75"/>
    <w:rsid w:val="22081C99"/>
    <w:rsid w:val="220B170D"/>
    <w:rsid w:val="22116682"/>
    <w:rsid w:val="22262119"/>
    <w:rsid w:val="222A7DD6"/>
    <w:rsid w:val="22407BB4"/>
    <w:rsid w:val="22413C3A"/>
    <w:rsid w:val="22453681"/>
    <w:rsid w:val="226849D6"/>
    <w:rsid w:val="22A52B91"/>
    <w:rsid w:val="22B23F18"/>
    <w:rsid w:val="22BC64C5"/>
    <w:rsid w:val="22E07327"/>
    <w:rsid w:val="22E5075C"/>
    <w:rsid w:val="22F5467D"/>
    <w:rsid w:val="23164DB9"/>
    <w:rsid w:val="23244261"/>
    <w:rsid w:val="232C6395"/>
    <w:rsid w:val="233D34D1"/>
    <w:rsid w:val="234C5572"/>
    <w:rsid w:val="23571362"/>
    <w:rsid w:val="23666F90"/>
    <w:rsid w:val="236C6180"/>
    <w:rsid w:val="236F2941"/>
    <w:rsid w:val="23B161A5"/>
    <w:rsid w:val="23E7577B"/>
    <w:rsid w:val="23F37646"/>
    <w:rsid w:val="23FE1AD5"/>
    <w:rsid w:val="240937C7"/>
    <w:rsid w:val="241B1F94"/>
    <w:rsid w:val="243912CC"/>
    <w:rsid w:val="243E3D7B"/>
    <w:rsid w:val="2446522A"/>
    <w:rsid w:val="244A1099"/>
    <w:rsid w:val="24672B7E"/>
    <w:rsid w:val="246C4D16"/>
    <w:rsid w:val="246F0C5E"/>
    <w:rsid w:val="24745F77"/>
    <w:rsid w:val="24835002"/>
    <w:rsid w:val="24955A3B"/>
    <w:rsid w:val="249B1241"/>
    <w:rsid w:val="249F6F2F"/>
    <w:rsid w:val="24A92C57"/>
    <w:rsid w:val="24AB1276"/>
    <w:rsid w:val="24BC7B67"/>
    <w:rsid w:val="24D17FAD"/>
    <w:rsid w:val="24F46A34"/>
    <w:rsid w:val="250D6D45"/>
    <w:rsid w:val="251838CB"/>
    <w:rsid w:val="253C628C"/>
    <w:rsid w:val="25515965"/>
    <w:rsid w:val="255437E4"/>
    <w:rsid w:val="255D6A01"/>
    <w:rsid w:val="255F2A47"/>
    <w:rsid w:val="25624B5B"/>
    <w:rsid w:val="25937468"/>
    <w:rsid w:val="259D3570"/>
    <w:rsid w:val="25AC265F"/>
    <w:rsid w:val="25E175D4"/>
    <w:rsid w:val="25E371D4"/>
    <w:rsid w:val="25F06172"/>
    <w:rsid w:val="261C6231"/>
    <w:rsid w:val="26220639"/>
    <w:rsid w:val="262D5B12"/>
    <w:rsid w:val="263E6BEC"/>
    <w:rsid w:val="26502012"/>
    <w:rsid w:val="26526F69"/>
    <w:rsid w:val="26532B0E"/>
    <w:rsid w:val="26576D8D"/>
    <w:rsid w:val="26741409"/>
    <w:rsid w:val="267A14D0"/>
    <w:rsid w:val="26B91C46"/>
    <w:rsid w:val="26C4161C"/>
    <w:rsid w:val="26D20FF7"/>
    <w:rsid w:val="26D63F37"/>
    <w:rsid w:val="26EB3E67"/>
    <w:rsid w:val="27070CA1"/>
    <w:rsid w:val="27081864"/>
    <w:rsid w:val="27162B68"/>
    <w:rsid w:val="272D1FA2"/>
    <w:rsid w:val="27504DE9"/>
    <w:rsid w:val="277C13AF"/>
    <w:rsid w:val="27820C2B"/>
    <w:rsid w:val="279E4361"/>
    <w:rsid w:val="27A9132A"/>
    <w:rsid w:val="27B57EE5"/>
    <w:rsid w:val="27B604FF"/>
    <w:rsid w:val="27D27EDC"/>
    <w:rsid w:val="27EA63C3"/>
    <w:rsid w:val="27F849CE"/>
    <w:rsid w:val="27FB38B9"/>
    <w:rsid w:val="28034261"/>
    <w:rsid w:val="281D57DF"/>
    <w:rsid w:val="282E41C6"/>
    <w:rsid w:val="283B00CC"/>
    <w:rsid w:val="284820C7"/>
    <w:rsid w:val="28514D3A"/>
    <w:rsid w:val="287522DC"/>
    <w:rsid w:val="28875E15"/>
    <w:rsid w:val="28885E11"/>
    <w:rsid w:val="28A6273B"/>
    <w:rsid w:val="28D83C9F"/>
    <w:rsid w:val="28DD392C"/>
    <w:rsid w:val="28E16EFE"/>
    <w:rsid w:val="28F675A0"/>
    <w:rsid w:val="28F83742"/>
    <w:rsid w:val="28FA4F22"/>
    <w:rsid w:val="28FD415E"/>
    <w:rsid w:val="290F27C6"/>
    <w:rsid w:val="29225118"/>
    <w:rsid w:val="29246C10"/>
    <w:rsid w:val="29253D42"/>
    <w:rsid w:val="29263AF8"/>
    <w:rsid w:val="297C4B46"/>
    <w:rsid w:val="298619B7"/>
    <w:rsid w:val="29985CD2"/>
    <w:rsid w:val="299C2E5A"/>
    <w:rsid w:val="299D2C15"/>
    <w:rsid w:val="29BD1AEA"/>
    <w:rsid w:val="29C67B50"/>
    <w:rsid w:val="29CB7F4B"/>
    <w:rsid w:val="29E56BAE"/>
    <w:rsid w:val="29FA07F7"/>
    <w:rsid w:val="29FE6243"/>
    <w:rsid w:val="2A1B1D3A"/>
    <w:rsid w:val="2A3E532A"/>
    <w:rsid w:val="2A400DA3"/>
    <w:rsid w:val="2A401725"/>
    <w:rsid w:val="2A4109F3"/>
    <w:rsid w:val="2A411311"/>
    <w:rsid w:val="2A475858"/>
    <w:rsid w:val="2A5734AD"/>
    <w:rsid w:val="2A627E9E"/>
    <w:rsid w:val="2A750617"/>
    <w:rsid w:val="2A857AA3"/>
    <w:rsid w:val="2A8A5053"/>
    <w:rsid w:val="2A977833"/>
    <w:rsid w:val="2A9A5862"/>
    <w:rsid w:val="2AAA63B7"/>
    <w:rsid w:val="2AB849E9"/>
    <w:rsid w:val="2ABF48A9"/>
    <w:rsid w:val="2AD20C19"/>
    <w:rsid w:val="2ADE12D8"/>
    <w:rsid w:val="2ADF69D8"/>
    <w:rsid w:val="2AE412F9"/>
    <w:rsid w:val="2AF36480"/>
    <w:rsid w:val="2B135B2F"/>
    <w:rsid w:val="2B1A554D"/>
    <w:rsid w:val="2B2238D2"/>
    <w:rsid w:val="2B34068C"/>
    <w:rsid w:val="2B4D6519"/>
    <w:rsid w:val="2B5F5164"/>
    <w:rsid w:val="2B6945CE"/>
    <w:rsid w:val="2B7722FF"/>
    <w:rsid w:val="2B7A319E"/>
    <w:rsid w:val="2B7B13DD"/>
    <w:rsid w:val="2B826177"/>
    <w:rsid w:val="2B8D1E12"/>
    <w:rsid w:val="2BB142D8"/>
    <w:rsid w:val="2BCE6231"/>
    <w:rsid w:val="2BDF2D2D"/>
    <w:rsid w:val="2BF10064"/>
    <w:rsid w:val="2BFD7697"/>
    <w:rsid w:val="2C01184A"/>
    <w:rsid w:val="2C0B1E49"/>
    <w:rsid w:val="2C257C98"/>
    <w:rsid w:val="2C40470F"/>
    <w:rsid w:val="2C4C38A5"/>
    <w:rsid w:val="2C532D9E"/>
    <w:rsid w:val="2C5B55EB"/>
    <w:rsid w:val="2C6302A4"/>
    <w:rsid w:val="2C706AC3"/>
    <w:rsid w:val="2C7E2344"/>
    <w:rsid w:val="2C916BA6"/>
    <w:rsid w:val="2CB2482B"/>
    <w:rsid w:val="2CB86089"/>
    <w:rsid w:val="2CC90542"/>
    <w:rsid w:val="2CE04DD6"/>
    <w:rsid w:val="2D0C2B17"/>
    <w:rsid w:val="2D1934DC"/>
    <w:rsid w:val="2D1969E6"/>
    <w:rsid w:val="2D4725E9"/>
    <w:rsid w:val="2D6F2ADD"/>
    <w:rsid w:val="2D834185"/>
    <w:rsid w:val="2D8A4EAD"/>
    <w:rsid w:val="2DA32DF9"/>
    <w:rsid w:val="2DB854F7"/>
    <w:rsid w:val="2DCD657E"/>
    <w:rsid w:val="2DE51610"/>
    <w:rsid w:val="2DFD155F"/>
    <w:rsid w:val="2DFD6A8B"/>
    <w:rsid w:val="2E0614A0"/>
    <w:rsid w:val="2E1B62A5"/>
    <w:rsid w:val="2E1D4DD8"/>
    <w:rsid w:val="2E4E1FDF"/>
    <w:rsid w:val="2E5B2A39"/>
    <w:rsid w:val="2E660AA3"/>
    <w:rsid w:val="2E6C1042"/>
    <w:rsid w:val="2E733C1A"/>
    <w:rsid w:val="2E7915F7"/>
    <w:rsid w:val="2EBB2620"/>
    <w:rsid w:val="2EDC23A3"/>
    <w:rsid w:val="2EE93B1D"/>
    <w:rsid w:val="2EEE0CE6"/>
    <w:rsid w:val="2F000DF7"/>
    <w:rsid w:val="2F200DE3"/>
    <w:rsid w:val="2F210D6D"/>
    <w:rsid w:val="2F2730EA"/>
    <w:rsid w:val="2F3B4323"/>
    <w:rsid w:val="2F511749"/>
    <w:rsid w:val="2F5245BB"/>
    <w:rsid w:val="2F5C1DA5"/>
    <w:rsid w:val="2F5C291E"/>
    <w:rsid w:val="2F6B6A39"/>
    <w:rsid w:val="2F6D685F"/>
    <w:rsid w:val="2F897F15"/>
    <w:rsid w:val="2F8C65B4"/>
    <w:rsid w:val="2F8D6311"/>
    <w:rsid w:val="300B608E"/>
    <w:rsid w:val="30175481"/>
    <w:rsid w:val="30274161"/>
    <w:rsid w:val="302766B8"/>
    <w:rsid w:val="3028203A"/>
    <w:rsid w:val="3039428B"/>
    <w:rsid w:val="303F5D44"/>
    <w:rsid w:val="30405AEB"/>
    <w:rsid w:val="30572AB5"/>
    <w:rsid w:val="30593E90"/>
    <w:rsid w:val="30691305"/>
    <w:rsid w:val="30802724"/>
    <w:rsid w:val="308A5AF5"/>
    <w:rsid w:val="308B162A"/>
    <w:rsid w:val="30AC2F37"/>
    <w:rsid w:val="30AF3B5C"/>
    <w:rsid w:val="30B7135B"/>
    <w:rsid w:val="30C762F5"/>
    <w:rsid w:val="30DA479E"/>
    <w:rsid w:val="30DF569E"/>
    <w:rsid w:val="30F53BE3"/>
    <w:rsid w:val="30F80126"/>
    <w:rsid w:val="310107F4"/>
    <w:rsid w:val="312858AA"/>
    <w:rsid w:val="31313C2C"/>
    <w:rsid w:val="31386D34"/>
    <w:rsid w:val="314011DB"/>
    <w:rsid w:val="31415481"/>
    <w:rsid w:val="316E442F"/>
    <w:rsid w:val="317A1ABF"/>
    <w:rsid w:val="31811F72"/>
    <w:rsid w:val="318513CE"/>
    <w:rsid w:val="31851676"/>
    <w:rsid w:val="319A63A8"/>
    <w:rsid w:val="31AC397B"/>
    <w:rsid w:val="31BB263A"/>
    <w:rsid w:val="31D16A7B"/>
    <w:rsid w:val="31EC7904"/>
    <w:rsid w:val="31F32B8E"/>
    <w:rsid w:val="31FA120D"/>
    <w:rsid w:val="320056B3"/>
    <w:rsid w:val="32032700"/>
    <w:rsid w:val="320A0A9B"/>
    <w:rsid w:val="320C70D0"/>
    <w:rsid w:val="32157FC7"/>
    <w:rsid w:val="32186458"/>
    <w:rsid w:val="321F369F"/>
    <w:rsid w:val="322C1B4F"/>
    <w:rsid w:val="32404AFC"/>
    <w:rsid w:val="3242018E"/>
    <w:rsid w:val="32476E5F"/>
    <w:rsid w:val="324C6101"/>
    <w:rsid w:val="326F71FA"/>
    <w:rsid w:val="328504E1"/>
    <w:rsid w:val="32856866"/>
    <w:rsid w:val="32993DFB"/>
    <w:rsid w:val="329A5F94"/>
    <w:rsid w:val="32A413D8"/>
    <w:rsid w:val="32AC3044"/>
    <w:rsid w:val="32B14DAF"/>
    <w:rsid w:val="32D96A15"/>
    <w:rsid w:val="32FB72B2"/>
    <w:rsid w:val="32FF13C6"/>
    <w:rsid w:val="33095BB1"/>
    <w:rsid w:val="331C0B77"/>
    <w:rsid w:val="333146B4"/>
    <w:rsid w:val="33572FB0"/>
    <w:rsid w:val="33737D1D"/>
    <w:rsid w:val="337B0E24"/>
    <w:rsid w:val="33843E55"/>
    <w:rsid w:val="338E2DA3"/>
    <w:rsid w:val="33956427"/>
    <w:rsid w:val="33A15DF5"/>
    <w:rsid w:val="33BE2640"/>
    <w:rsid w:val="33D44309"/>
    <w:rsid w:val="33ED680F"/>
    <w:rsid w:val="33EF4E32"/>
    <w:rsid w:val="33F64CC0"/>
    <w:rsid w:val="3412718D"/>
    <w:rsid w:val="341B7144"/>
    <w:rsid w:val="34266473"/>
    <w:rsid w:val="34451A34"/>
    <w:rsid w:val="344B2FC1"/>
    <w:rsid w:val="3478046D"/>
    <w:rsid w:val="347C405C"/>
    <w:rsid w:val="349166D9"/>
    <w:rsid w:val="34967B08"/>
    <w:rsid w:val="349A20A0"/>
    <w:rsid w:val="34A01688"/>
    <w:rsid w:val="34BA1DB8"/>
    <w:rsid w:val="34C85C6A"/>
    <w:rsid w:val="34EB4864"/>
    <w:rsid w:val="34ED71A1"/>
    <w:rsid w:val="34F72144"/>
    <w:rsid w:val="35075F44"/>
    <w:rsid w:val="351C1540"/>
    <w:rsid w:val="353323E8"/>
    <w:rsid w:val="353A451B"/>
    <w:rsid w:val="354B6B44"/>
    <w:rsid w:val="355138F2"/>
    <w:rsid w:val="355D3B61"/>
    <w:rsid w:val="356C00F9"/>
    <w:rsid w:val="356E28A6"/>
    <w:rsid w:val="357973F1"/>
    <w:rsid w:val="35880DE0"/>
    <w:rsid w:val="359B6EA7"/>
    <w:rsid w:val="35A253BE"/>
    <w:rsid w:val="35A952C4"/>
    <w:rsid w:val="35B17224"/>
    <w:rsid w:val="35BC7366"/>
    <w:rsid w:val="35CA12FC"/>
    <w:rsid w:val="35DF155A"/>
    <w:rsid w:val="35E73672"/>
    <w:rsid w:val="35EB7610"/>
    <w:rsid w:val="35FA0E33"/>
    <w:rsid w:val="361A42D7"/>
    <w:rsid w:val="3627310D"/>
    <w:rsid w:val="362F73EA"/>
    <w:rsid w:val="36325C99"/>
    <w:rsid w:val="3640556A"/>
    <w:rsid w:val="36525CB0"/>
    <w:rsid w:val="36612059"/>
    <w:rsid w:val="36737322"/>
    <w:rsid w:val="367A5444"/>
    <w:rsid w:val="367B2D81"/>
    <w:rsid w:val="367D0F7F"/>
    <w:rsid w:val="368D049B"/>
    <w:rsid w:val="3693154A"/>
    <w:rsid w:val="36B62C6B"/>
    <w:rsid w:val="36C06A81"/>
    <w:rsid w:val="36C60F98"/>
    <w:rsid w:val="36C67CC9"/>
    <w:rsid w:val="36E6100A"/>
    <w:rsid w:val="36E62E8C"/>
    <w:rsid w:val="36F35EBF"/>
    <w:rsid w:val="36FD3A22"/>
    <w:rsid w:val="37076336"/>
    <w:rsid w:val="370801CA"/>
    <w:rsid w:val="37220BCE"/>
    <w:rsid w:val="372238D5"/>
    <w:rsid w:val="374F5463"/>
    <w:rsid w:val="37536AA4"/>
    <w:rsid w:val="37823A11"/>
    <w:rsid w:val="378620B5"/>
    <w:rsid w:val="378E0036"/>
    <w:rsid w:val="37905CBF"/>
    <w:rsid w:val="37AF239E"/>
    <w:rsid w:val="37B61F2A"/>
    <w:rsid w:val="37BC57F7"/>
    <w:rsid w:val="37C82FEF"/>
    <w:rsid w:val="37C94423"/>
    <w:rsid w:val="37C97345"/>
    <w:rsid w:val="37CA27F9"/>
    <w:rsid w:val="37DD0FBB"/>
    <w:rsid w:val="37DE2286"/>
    <w:rsid w:val="37DF5298"/>
    <w:rsid w:val="37FA55A8"/>
    <w:rsid w:val="38123856"/>
    <w:rsid w:val="3816651B"/>
    <w:rsid w:val="383314E3"/>
    <w:rsid w:val="384E08DF"/>
    <w:rsid w:val="384F2FD9"/>
    <w:rsid w:val="38563836"/>
    <w:rsid w:val="38645780"/>
    <w:rsid w:val="38647147"/>
    <w:rsid w:val="38830FCA"/>
    <w:rsid w:val="38955570"/>
    <w:rsid w:val="389967EB"/>
    <w:rsid w:val="38AD0AC0"/>
    <w:rsid w:val="38BC5930"/>
    <w:rsid w:val="38C020B6"/>
    <w:rsid w:val="38CB050A"/>
    <w:rsid w:val="38D20B79"/>
    <w:rsid w:val="38F23B06"/>
    <w:rsid w:val="38FC3016"/>
    <w:rsid w:val="390D124A"/>
    <w:rsid w:val="391142CB"/>
    <w:rsid w:val="39184F8F"/>
    <w:rsid w:val="3924516D"/>
    <w:rsid w:val="39291B92"/>
    <w:rsid w:val="393F5E6D"/>
    <w:rsid w:val="394D1795"/>
    <w:rsid w:val="394E1081"/>
    <w:rsid w:val="39511E95"/>
    <w:rsid w:val="395D0BF4"/>
    <w:rsid w:val="395F4F31"/>
    <w:rsid w:val="39620592"/>
    <w:rsid w:val="39622F44"/>
    <w:rsid w:val="39853C39"/>
    <w:rsid w:val="3986352B"/>
    <w:rsid w:val="39867AA2"/>
    <w:rsid w:val="399B4CC1"/>
    <w:rsid w:val="39BE2EDB"/>
    <w:rsid w:val="39F5108B"/>
    <w:rsid w:val="39FE0D3A"/>
    <w:rsid w:val="3A121B1B"/>
    <w:rsid w:val="3A26119D"/>
    <w:rsid w:val="3A5F32AE"/>
    <w:rsid w:val="3A602160"/>
    <w:rsid w:val="3A695006"/>
    <w:rsid w:val="3A7534FB"/>
    <w:rsid w:val="3A7A0CA7"/>
    <w:rsid w:val="3A7A3CFE"/>
    <w:rsid w:val="3AAC1E33"/>
    <w:rsid w:val="3AB03E74"/>
    <w:rsid w:val="3AB360AA"/>
    <w:rsid w:val="3ABD3D0C"/>
    <w:rsid w:val="3B1A26FC"/>
    <w:rsid w:val="3B4916BD"/>
    <w:rsid w:val="3B497617"/>
    <w:rsid w:val="3B514788"/>
    <w:rsid w:val="3B563E38"/>
    <w:rsid w:val="3B63021B"/>
    <w:rsid w:val="3B686EA5"/>
    <w:rsid w:val="3B775112"/>
    <w:rsid w:val="3B7F4E52"/>
    <w:rsid w:val="3BBF5B96"/>
    <w:rsid w:val="3BED70E7"/>
    <w:rsid w:val="3BF32E22"/>
    <w:rsid w:val="3BF53366"/>
    <w:rsid w:val="3BFE66D2"/>
    <w:rsid w:val="3C0940DC"/>
    <w:rsid w:val="3C097883"/>
    <w:rsid w:val="3C0D595D"/>
    <w:rsid w:val="3C1C3C83"/>
    <w:rsid w:val="3C1D0F23"/>
    <w:rsid w:val="3C1D6319"/>
    <w:rsid w:val="3C1F5484"/>
    <w:rsid w:val="3C286E46"/>
    <w:rsid w:val="3C363B36"/>
    <w:rsid w:val="3C3C3743"/>
    <w:rsid w:val="3C596C17"/>
    <w:rsid w:val="3C5E0F0B"/>
    <w:rsid w:val="3C6450CC"/>
    <w:rsid w:val="3C8118EA"/>
    <w:rsid w:val="3C817C20"/>
    <w:rsid w:val="3CA22118"/>
    <w:rsid w:val="3CB97310"/>
    <w:rsid w:val="3CDB2B33"/>
    <w:rsid w:val="3CFB5165"/>
    <w:rsid w:val="3CFC4117"/>
    <w:rsid w:val="3D030E20"/>
    <w:rsid w:val="3D0B26C2"/>
    <w:rsid w:val="3D0C792F"/>
    <w:rsid w:val="3D5435A3"/>
    <w:rsid w:val="3D5E2EAD"/>
    <w:rsid w:val="3D8175A7"/>
    <w:rsid w:val="3D9F17DB"/>
    <w:rsid w:val="3DB34FA2"/>
    <w:rsid w:val="3DC36B4E"/>
    <w:rsid w:val="3DCE50B4"/>
    <w:rsid w:val="3DD11BB1"/>
    <w:rsid w:val="3DE62AA3"/>
    <w:rsid w:val="3DE816A6"/>
    <w:rsid w:val="3DF27FCC"/>
    <w:rsid w:val="3E3A240F"/>
    <w:rsid w:val="3E412185"/>
    <w:rsid w:val="3E4D21A0"/>
    <w:rsid w:val="3E687AB1"/>
    <w:rsid w:val="3E764511"/>
    <w:rsid w:val="3E821325"/>
    <w:rsid w:val="3E8804C1"/>
    <w:rsid w:val="3E956D5D"/>
    <w:rsid w:val="3EB602A8"/>
    <w:rsid w:val="3EB6675A"/>
    <w:rsid w:val="3EDD6FEC"/>
    <w:rsid w:val="3EE97750"/>
    <w:rsid w:val="3EEB0BC8"/>
    <w:rsid w:val="3EF63D07"/>
    <w:rsid w:val="3EF97AED"/>
    <w:rsid w:val="3F1161E7"/>
    <w:rsid w:val="3F2F3033"/>
    <w:rsid w:val="3F487955"/>
    <w:rsid w:val="3F4D39CF"/>
    <w:rsid w:val="3F535A08"/>
    <w:rsid w:val="3F5D2FC0"/>
    <w:rsid w:val="3F6251B6"/>
    <w:rsid w:val="3F7D5B4C"/>
    <w:rsid w:val="3F7E3E18"/>
    <w:rsid w:val="3F88629F"/>
    <w:rsid w:val="3F91609A"/>
    <w:rsid w:val="3F9D7BD8"/>
    <w:rsid w:val="3FA5406C"/>
    <w:rsid w:val="3FA7706D"/>
    <w:rsid w:val="3FB02E60"/>
    <w:rsid w:val="400358E9"/>
    <w:rsid w:val="400725F1"/>
    <w:rsid w:val="404566E3"/>
    <w:rsid w:val="4051555F"/>
    <w:rsid w:val="4052707D"/>
    <w:rsid w:val="40774C91"/>
    <w:rsid w:val="40875A9B"/>
    <w:rsid w:val="408F4AB5"/>
    <w:rsid w:val="40926292"/>
    <w:rsid w:val="40A315E2"/>
    <w:rsid w:val="40BD2DD5"/>
    <w:rsid w:val="40BF131B"/>
    <w:rsid w:val="40C14380"/>
    <w:rsid w:val="40C15801"/>
    <w:rsid w:val="40E73FDA"/>
    <w:rsid w:val="40F96E0E"/>
    <w:rsid w:val="40FD7AC2"/>
    <w:rsid w:val="41031F21"/>
    <w:rsid w:val="41074A25"/>
    <w:rsid w:val="41170AFA"/>
    <w:rsid w:val="411810B3"/>
    <w:rsid w:val="41280EC1"/>
    <w:rsid w:val="413E781A"/>
    <w:rsid w:val="41410DFB"/>
    <w:rsid w:val="414E26D4"/>
    <w:rsid w:val="415B0DC2"/>
    <w:rsid w:val="41601C8B"/>
    <w:rsid w:val="417C4067"/>
    <w:rsid w:val="417C4733"/>
    <w:rsid w:val="41861B3D"/>
    <w:rsid w:val="418644B7"/>
    <w:rsid w:val="41960173"/>
    <w:rsid w:val="41B45A71"/>
    <w:rsid w:val="41DD5436"/>
    <w:rsid w:val="41EB1AE7"/>
    <w:rsid w:val="41EE0B8F"/>
    <w:rsid w:val="41FB0156"/>
    <w:rsid w:val="420F0BD5"/>
    <w:rsid w:val="421F65D4"/>
    <w:rsid w:val="422D6C36"/>
    <w:rsid w:val="423544BC"/>
    <w:rsid w:val="42424D9B"/>
    <w:rsid w:val="42432C81"/>
    <w:rsid w:val="427115E5"/>
    <w:rsid w:val="428D254A"/>
    <w:rsid w:val="428F138D"/>
    <w:rsid w:val="42A540B0"/>
    <w:rsid w:val="42B032DA"/>
    <w:rsid w:val="42BE580A"/>
    <w:rsid w:val="42BE6C27"/>
    <w:rsid w:val="42E6183F"/>
    <w:rsid w:val="42EF41DC"/>
    <w:rsid w:val="42FB1178"/>
    <w:rsid w:val="4316131F"/>
    <w:rsid w:val="43432CA0"/>
    <w:rsid w:val="43444924"/>
    <w:rsid w:val="434C79CA"/>
    <w:rsid w:val="434F3D59"/>
    <w:rsid w:val="435B62D7"/>
    <w:rsid w:val="43615785"/>
    <w:rsid w:val="436E24ED"/>
    <w:rsid w:val="43786D40"/>
    <w:rsid w:val="43787D4F"/>
    <w:rsid w:val="437B23A2"/>
    <w:rsid w:val="437C436D"/>
    <w:rsid w:val="437D56A2"/>
    <w:rsid w:val="43822024"/>
    <w:rsid w:val="43914A7E"/>
    <w:rsid w:val="43A35D9D"/>
    <w:rsid w:val="43B85E4F"/>
    <w:rsid w:val="43BA1574"/>
    <w:rsid w:val="43BB5275"/>
    <w:rsid w:val="43CE402B"/>
    <w:rsid w:val="43DC1043"/>
    <w:rsid w:val="43E91A02"/>
    <w:rsid w:val="43EE7018"/>
    <w:rsid w:val="440B1D41"/>
    <w:rsid w:val="440D66B8"/>
    <w:rsid w:val="44175F4A"/>
    <w:rsid w:val="442055DA"/>
    <w:rsid w:val="442A7A41"/>
    <w:rsid w:val="4433320B"/>
    <w:rsid w:val="4441125A"/>
    <w:rsid w:val="44573B44"/>
    <w:rsid w:val="44625F6B"/>
    <w:rsid w:val="447C2355"/>
    <w:rsid w:val="447F4D42"/>
    <w:rsid w:val="448A113E"/>
    <w:rsid w:val="4491463C"/>
    <w:rsid w:val="44A60B1E"/>
    <w:rsid w:val="44D16A50"/>
    <w:rsid w:val="44E57934"/>
    <w:rsid w:val="44EB6AC4"/>
    <w:rsid w:val="44F2526A"/>
    <w:rsid w:val="450909DF"/>
    <w:rsid w:val="45101210"/>
    <w:rsid w:val="452E0003"/>
    <w:rsid w:val="4536589C"/>
    <w:rsid w:val="455B4158"/>
    <w:rsid w:val="456C5282"/>
    <w:rsid w:val="45703A5D"/>
    <w:rsid w:val="45A75620"/>
    <w:rsid w:val="45B85B30"/>
    <w:rsid w:val="45BC416A"/>
    <w:rsid w:val="45C119CB"/>
    <w:rsid w:val="45CC6023"/>
    <w:rsid w:val="45D57A1F"/>
    <w:rsid w:val="45DF1831"/>
    <w:rsid w:val="45E36248"/>
    <w:rsid w:val="45E36903"/>
    <w:rsid w:val="45E91CB2"/>
    <w:rsid w:val="463B0776"/>
    <w:rsid w:val="464F1030"/>
    <w:rsid w:val="46510CE1"/>
    <w:rsid w:val="466E2BA6"/>
    <w:rsid w:val="46851876"/>
    <w:rsid w:val="4690179E"/>
    <w:rsid w:val="46C02A01"/>
    <w:rsid w:val="46CE3326"/>
    <w:rsid w:val="46D10354"/>
    <w:rsid w:val="46DB6D30"/>
    <w:rsid w:val="47053D5F"/>
    <w:rsid w:val="470B19D3"/>
    <w:rsid w:val="472C2EBD"/>
    <w:rsid w:val="473747E0"/>
    <w:rsid w:val="47451367"/>
    <w:rsid w:val="474B73AE"/>
    <w:rsid w:val="47576D31"/>
    <w:rsid w:val="47984100"/>
    <w:rsid w:val="47985777"/>
    <w:rsid w:val="479E56B1"/>
    <w:rsid w:val="47AC0570"/>
    <w:rsid w:val="47B751CD"/>
    <w:rsid w:val="47C053E9"/>
    <w:rsid w:val="47DA080A"/>
    <w:rsid w:val="480212E4"/>
    <w:rsid w:val="481421B5"/>
    <w:rsid w:val="48147269"/>
    <w:rsid w:val="482C5399"/>
    <w:rsid w:val="484C705F"/>
    <w:rsid w:val="484E277B"/>
    <w:rsid w:val="48517B76"/>
    <w:rsid w:val="485754D6"/>
    <w:rsid w:val="48630AAE"/>
    <w:rsid w:val="4866332E"/>
    <w:rsid w:val="4873146D"/>
    <w:rsid w:val="487D402B"/>
    <w:rsid w:val="488A12DA"/>
    <w:rsid w:val="48982EB9"/>
    <w:rsid w:val="48AA601F"/>
    <w:rsid w:val="48BD6DDA"/>
    <w:rsid w:val="48C22B9C"/>
    <w:rsid w:val="48C77C4E"/>
    <w:rsid w:val="48C869A3"/>
    <w:rsid w:val="48CA792D"/>
    <w:rsid w:val="48CE0997"/>
    <w:rsid w:val="48F175DD"/>
    <w:rsid w:val="49014991"/>
    <w:rsid w:val="490C7F41"/>
    <w:rsid w:val="491645FF"/>
    <w:rsid w:val="491A7C80"/>
    <w:rsid w:val="49332A0A"/>
    <w:rsid w:val="493C7FAC"/>
    <w:rsid w:val="493D397C"/>
    <w:rsid w:val="493F652C"/>
    <w:rsid w:val="495A1DD2"/>
    <w:rsid w:val="49631924"/>
    <w:rsid w:val="49917055"/>
    <w:rsid w:val="4999169C"/>
    <w:rsid w:val="499D0A26"/>
    <w:rsid w:val="49A105A9"/>
    <w:rsid w:val="49AD4320"/>
    <w:rsid w:val="49BC1967"/>
    <w:rsid w:val="49C4419C"/>
    <w:rsid w:val="49E21565"/>
    <w:rsid w:val="49EA182B"/>
    <w:rsid w:val="4A054488"/>
    <w:rsid w:val="4A315777"/>
    <w:rsid w:val="4A3C0854"/>
    <w:rsid w:val="4A4F4791"/>
    <w:rsid w:val="4A604BC7"/>
    <w:rsid w:val="4A677B24"/>
    <w:rsid w:val="4A7B38E1"/>
    <w:rsid w:val="4A8561FD"/>
    <w:rsid w:val="4AAA5C63"/>
    <w:rsid w:val="4AB809E6"/>
    <w:rsid w:val="4AC44FCE"/>
    <w:rsid w:val="4AD55329"/>
    <w:rsid w:val="4AE276E5"/>
    <w:rsid w:val="4AF52BAC"/>
    <w:rsid w:val="4B0C0327"/>
    <w:rsid w:val="4B155197"/>
    <w:rsid w:val="4B183712"/>
    <w:rsid w:val="4B1D29B1"/>
    <w:rsid w:val="4B3B704E"/>
    <w:rsid w:val="4B505E2D"/>
    <w:rsid w:val="4B571947"/>
    <w:rsid w:val="4B614574"/>
    <w:rsid w:val="4B6D0589"/>
    <w:rsid w:val="4B8026DD"/>
    <w:rsid w:val="4B836777"/>
    <w:rsid w:val="4B836C16"/>
    <w:rsid w:val="4B904E59"/>
    <w:rsid w:val="4BA02065"/>
    <w:rsid w:val="4BAF7CFE"/>
    <w:rsid w:val="4BB82A33"/>
    <w:rsid w:val="4BB861BA"/>
    <w:rsid w:val="4BF53F1A"/>
    <w:rsid w:val="4BF61160"/>
    <w:rsid w:val="4C201CE5"/>
    <w:rsid w:val="4C2448BA"/>
    <w:rsid w:val="4C324162"/>
    <w:rsid w:val="4C561BFF"/>
    <w:rsid w:val="4C56319C"/>
    <w:rsid w:val="4C5658BA"/>
    <w:rsid w:val="4C804ECE"/>
    <w:rsid w:val="4C941690"/>
    <w:rsid w:val="4CB21DF0"/>
    <w:rsid w:val="4CBB6340"/>
    <w:rsid w:val="4CD1415D"/>
    <w:rsid w:val="4CD72A7B"/>
    <w:rsid w:val="4CE61EED"/>
    <w:rsid w:val="4CF60CEC"/>
    <w:rsid w:val="4CFB56B8"/>
    <w:rsid w:val="4D062612"/>
    <w:rsid w:val="4D072EF9"/>
    <w:rsid w:val="4D223E7F"/>
    <w:rsid w:val="4D2B3334"/>
    <w:rsid w:val="4D571E26"/>
    <w:rsid w:val="4D6F270D"/>
    <w:rsid w:val="4D8F4FE3"/>
    <w:rsid w:val="4DC13D4E"/>
    <w:rsid w:val="4DE56839"/>
    <w:rsid w:val="4DE5781C"/>
    <w:rsid w:val="4DED2C89"/>
    <w:rsid w:val="4DF003F5"/>
    <w:rsid w:val="4DFD13F3"/>
    <w:rsid w:val="4E165FB9"/>
    <w:rsid w:val="4E186FED"/>
    <w:rsid w:val="4E1D7CF3"/>
    <w:rsid w:val="4E1F12ED"/>
    <w:rsid w:val="4E296E9F"/>
    <w:rsid w:val="4E2C25C5"/>
    <w:rsid w:val="4E351C02"/>
    <w:rsid w:val="4E43799F"/>
    <w:rsid w:val="4E53435A"/>
    <w:rsid w:val="4E5F2990"/>
    <w:rsid w:val="4E72582D"/>
    <w:rsid w:val="4E772639"/>
    <w:rsid w:val="4E7D1D32"/>
    <w:rsid w:val="4E8E0194"/>
    <w:rsid w:val="4E9F725E"/>
    <w:rsid w:val="4EBC30AE"/>
    <w:rsid w:val="4F02673C"/>
    <w:rsid w:val="4F027FE0"/>
    <w:rsid w:val="4F0420B1"/>
    <w:rsid w:val="4F325AF4"/>
    <w:rsid w:val="4F351EF9"/>
    <w:rsid w:val="4F590756"/>
    <w:rsid w:val="4F632C0F"/>
    <w:rsid w:val="4F9842DC"/>
    <w:rsid w:val="4F9B5B7A"/>
    <w:rsid w:val="4F9C0232"/>
    <w:rsid w:val="4FAD3E72"/>
    <w:rsid w:val="4FEB29B0"/>
    <w:rsid w:val="4FFC2491"/>
    <w:rsid w:val="500336C3"/>
    <w:rsid w:val="50033F6B"/>
    <w:rsid w:val="50047BC4"/>
    <w:rsid w:val="502D2C76"/>
    <w:rsid w:val="503B0DA8"/>
    <w:rsid w:val="503D3BA3"/>
    <w:rsid w:val="50437C6F"/>
    <w:rsid w:val="50447630"/>
    <w:rsid w:val="505B5E9B"/>
    <w:rsid w:val="505B6325"/>
    <w:rsid w:val="505E1CB8"/>
    <w:rsid w:val="50636C1C"/>
    <w:rsid w:val="507D2C77"/>
    <w:rsid w:val="5086166D"/>
    <w:rsid w:val="50B808DF"/>
    <w:rsid w:val="51064E88"/>
    <w:rsid w:val="51212CC4"/>
    <w:rsid w:val="5121342F"/>
    <w:rsid w:val="512D4DC4"/>
    <w:rsid w:val="512F0616"/>
    <w:rsid w:val="514F54E9"/>
    <w:rsid w:val="516112C7"/>
    <w:rsid w:val="516E280C"/>
    <w:rsid w:val="516E5C0E"/>
    <w:rsid w:val="51937451"/>
    <w:rsid w:val="51A14789"/>
    <w:rsid w:val="51A33610"/>
    <w:rsid w:val="51AA3E76"/>
    <w:rsid w:val="51B66656"/>
    <w:rsid w:val="51BC48C3"/>
    <w:rsid w:val="51C53203"/>
    <w:rsid w:val="51C62AF0"/>
    <w:rsid w:val="51CF0E27"/>
    <w:rsid w:val="51EA30B3"/>
    <w:rsid w:val="52045D71"/>
    <w:rsid w:val="520D67BE"/>
    <w:rsid w:val="52423C5D"/>
    <w:rsid w:val="52567539"/>
    <w:rsid w:val="526B3634"/>
    <w:rsid w:val="527602C7"/>
    <w:rsid w:val="52902FAA"/>
    <w:rsid w:val="52A80BDD"/>
    <w:rsid w:val="52E66360"/>
    <w:rsid w:val="52F946B3"/>
    <w:rsid w:val="53025544"/>
    <w:rsid w:val="530D0C3A"/>
    <w:rsid w:val="5327519C"/>
    <w:rsid w:val="53305991"/>
    <w:rsid w:val="534041EC"/>
    <w:rsid w:val="535D4D1B"/>
    <w:rsid w:val="537157F0"/>
    <w:rsid w:val="53767B73"/>
    <w:rsid w:val="53B5041C"/>
    <w:rsid w:val="53EF400F"/>
    <w:rsid w:val="53FC0F0C"/>
    <w:rsid w:val="54017416"/>
    <w:rsid w:val="540F0818"/>
    <w:rsid w:val="540F639E"/>
    <w:rsid w:val="542E1FBB"/>
    <w:rsid w:val="54317314"/>
    <w:rsid w:val="54414DFD"/>
    <w:rsid w:val="545F0249"/>
    <w:rsid w:val="54684BC5"/>
    <w:rsid w:val="547C522C"/>
    <w:rsid w:val="548405DB"/>
    <w:rsid w:val="548A270E"/>
    <w:rsid w:val="549C78B2"/>
    <w:rsid w:val="54A374A1"/>
    <w:rsid w:val="54A82C87"/>
    <w:rsid w:val="54AF1C85"/>
    <w:rsid w:val="54B51D52"/>
    <w:rsid w:val="54B70E79"/>
    <w:rsid w:val="54D41A02"/>
    <w:rsid w:val="54E044C3"/>
    <w:rsid w:val="54E35FFA"/>
    <w:rsid w:val="54EC0843"/>
    <w:rsid w:val="551E2813"/>
    <w:rsid w:val="5520758B"/>
    <w:rsid w:val="552A09D8"/>
    <w:rsid w:val="553E1EB1"/>
    <w:rsid w:val="553F2AC9"/>
    <w:rsid w:val="5563538C"/>
    <w:rsid w:val="55824C5E"/>
    <w:rsid w:val="558A6589"/>
    <w:rsid w:val="55905F3D"/>
    <w:rsid w:val="55913CA7"/>
    <w:rsid w:val="55CC0068"/>
    <w:rsid w:val="55E63376"/>
    <w:rsid w:val="55E738C7"/>
    <w:rsid w:val="55F1043D"/>
    <w:rsid w:val="55F17248"/>
    <w:rsid w:val="560A7AB0"/>
    <w:rsid w:val="561B7A15"/>
    <w:rsid w:val="562325A6"/>
    <w:rsid w:val="562C72FD"/>
    <w:rsid w:val="56344A2D"/>
    <w:rsid w:val="56377A33"/>
    <w:rsid w:val="563B7B4E"/>
    <w:rsid w:val="563E2F73"/>
    <w:rsid w:val="564079FB"/>
    <w:rsid w:val="564502F6"/>
    <w:rsid w:val="56640B6E"/>
    <w:rsid w:val="56760A1B"/>
    <w:rsid w:val="567D4EE4"/>
    <w:rsid w:val="56800891"/>
    <w:rsid w:val="568C525C"/>
    <w:rsid w:val="569D7188"/>
    <w:rsid w:val="56A97240"/>
    <w:rsid w:val="56C03BC2"/>
    <w:rsid w:val="56FA6FD2"/>
    <w:rsid w:val="56FB1D20"/>
    <w:rsid w:val="5704057C"/>
    <w:rsid w:val="570D57C7"/>
    <w:rsid w:val="571B32D6"/>
    <w:rsid w:val="571B7A7E"/>
    <w:rsid w:val="571C68BA"/>
    <w:rsid w:val="57201E00"/>
    <w:rsid w:val="572267DC"/>
    <w:rsid w:val="572B4ED1"/>
    <w:rsid w:val="57341C7E"/>
    <w:rsid w:val="573E4856"/>
    <w:rsid w:val="57524244"/>
    <w:rsid w:val="5754474F"/>
    <w:rsid w:val="5760594F"/>
    <w:rsid w:val="577A64D9"/>
    <w:rsid w:val="577C56D0"/>
    <w:rsid w:val="57961DC1"/>
    <w:rsid w:val="57CE372B"/>
    <w:rsid w:val="57CF06DE"/>
    <w:rsid w:val="57D04F5B"/>
    <w:rsid w:val="57D24509"/>
    <w:rsid w:val="57E43F88"/>
    <w:rsid w:val="57F34AC7"/>
    <w:rsid w:val="57F67DB5"/>
    <w:rsid w:val="57F71C73"/>
    <w:rsid w:val="5800746A"/>
    <w:rsid w:val="58047506"/>
    <w:rsid w:val="583B2850"/>
    <w:rsid w:val="58473BA5"/>
    <w:rsid w:val="58481CE4"/>
    <w:rsid w:val="584D012C"/>
    <w:rsid w:val="584F18E4"/>
    <w:rsid w:val="585378D8"/>
    <w:rsid w:val="585C2D3B"/>
    <w:rsid w:val="586E44A2"/>
    <w:rsid w:val="58711EB9"/>
    <w:rsid w:val="587703A6"/>
    <w:rsid w:val="58873E75"/>
    <w:rsid w:val="589050BA"/>
    <w:rsid w:val="58955AB9"/>
    <w:rsid w:val="58A558AA"/>
    <w:rsid w:val="58A80E04"/>
    <w:rsid w:val="58B00BF9"/>
    <w:rsid w:val="58B247DE"/>
    <w:rsid w:val="58C154FC"/>
    <w:rsid w:val="58CF5CBA"/>
    <w:rsid w:val="58D72319"/>
    <w:rsid w:val="58E71E05"/>
    <w:rsid w:val="58ED6FDE"/>
    <w:rsid w:val="58F10733"/>
    <w:rsid w:val="59026680"/>
    <w:rsid w:val="59114EA3"/>
    <w:rsid w:val="5914095B"/>
    <w:rsid w:val="59192F05"/>
    <w:rsid w:val="59354255"/>
    <w:rsid w:val="59633BAD"/>
    <w:rsid w:val="59665CA6"/>
    <w:rsid w:val="59695A2A"/>
    <w:rsid w:val="59980EAD"/>
    <w:rsid w:val="59C41B15"/>
    <w:rsid w:val="59C52481"/>
    <w:rsid w:val="59CA3C2C"/>
    <w:rsid w:val="59D00944"/>
    <w:rsid w:val="59EB62E9"/>
    <w:rsid w:val="59F03762"/>
    <w:rsid w:val="5A0228C5"/>
    <w:rsid w:val="5A170F08"/>
    <w:rsid w:val="5A2844AE"/>
    <w:rsid w:val="5A4D5FA8"/>
    <w:rsid w:val="5A8338DD"/>
    <w:rsid w:val="5A8C53A3"/>
    <w:rsid w:val="5A8E6CD0"/>
    <w:rsid w:val="5A932869"/>
    <w:rsid w:val="5A990B69"/>
    <w:rsid w:val="5AA806AE"/>
    <w:rsid w:val="5AB109BC"/>
    <w:rsid w:val="5AD22D98"/>
    <w:rsid w:val="5AD90A6F"/>
    <w:rsid w:val="5AE84603"/>
    <w:rsid w:val="5AF2343A"/>
    <w:rsid w:val="5B030F4E"/>
    <w:rsid w:val="5B052EED"/>
    <w:rsid w:val="5B087AB3"/>
    <w:rsid w:val="5B114B97"/>
    <w:rsid w:val="5B17636A"/>
    <w:rsid w:val="5B1A24C1"/>
    <w:rsid w:val="5B295916"/>
    <w:rsid w:val="5B305975"/>
    <w:rsid w:val="5B6148C9"/>
    <w:rsid w:val="5B6E0B73"/>
    <w:rsid w:val="5B81606D"/>
    <w:rsid w:val="5B9E1BB7"/>
    <w:rsid w:val="5BA74C10"/>
    <w:rsid w:val="5BDC1FD9"/>
    <w:rsid w:val="5BE55821"/>
    <w:rsid w:val="5C0056E3"/>
    <w:rsid w:val="5C0B22DC"/>
    <w:rsid w:val="5C0F1DCA"/>
    <w:rsid w:val="5C101D69"/>
    <w:rsid w:val="5C272C70"/>
    <w:rsid w:val="5C3873AE"/>
    <w:rsid w:val="5C720CE1"/>
    <w:rsid w:val="5C7D2B5A"/>
    <w:rsid w:val="5C9356A7"/>
    <w:rsid w:val="5C9C7C51"/>
    <w:rsid w:val="5CA34963"/>
    <w:rsid w:val="5CAF6D1C"/>
    <w:rsid w:val="5CCB0EBC"/>
    <w:rsid w:val="5CCB3F43"/>
    <w:rsid w:val="5CCC3932"/>
    <w:rsid w:val="5CE06728"/>
    <w:rsid w:val="5CE25F6E"/>
    <w:rsid w:val="5CF604AC"/>
    <w:rsid w:val="5CF6451A"/>
    <w:rsid w:val="5CF91B8D"/>
    <w:rsid w:val="5CFA49AE"/>
    <w:rsid w:val="5CFB7908"/>
    <w:rsid w:val="5CFF3FDE"/>
    <w:rsid w:val="5D0A6D51"/>
    <w:rsid w:val="5D1C0C50"/>
    <w:rsid w:val="5D227C0A"/>
    <w:rsid w:val="5D3007BF"/>
    <w:rsid w:val="5D3202D5"/>
    <w:rsid w:val="5D596E8E"/>
    <w:rsid w:val="5D5F31FA"/>
    <w:rsid w:val="5D871E87"/>
    <w:rsid w:val="5D93244C"/>
    <w:rsid w:val="5D9338D4"/>
    <w:rsid w:val="5DA10CB6"/>
    <w:rsid w:val="5DC6470A"/>
    <w:rsid w:val="5DC929C1"/>
    <w:rsid w:val="5DD22EDE"/>
    <w:rsid w:val="5DD32455"/>
    <w:rsid w:val="5DD72473"/>
    <w:rsid w:val="5DDB2CF1"/>
    <w:rsid w:val="5DDD19F6"/>
    <w:rsid w:val="5DE171FC"/>
    <w:rsid w:val="5DF631CD"/>
    <w:rsid w:val="5DF63241"/>
    <w:rsid w:val="5E131F1B"/>
    <w:rsid w:val="5E325939"/>
    <w:rsid w:val="5E517EF0"/>
    <w:rsid w:val="5E6250F2"/>
    <w:rsid w:val="5E670DD7"/>
    <w:rsid w:val="5E727148"/>
    <w:rsid w:val="5E757A9A"/>
    <w:rsid w:val="5E8F3D94"/>
    <w:rsid w:val="5E9929A6"/>
    <w:rsid w:val="5EAB6551"/>
    <w:rsid w:val="5EB15DBB"/>
    <w:rsid w:val="5EBA0139"/>
    <w:rsid w:val="5ECD3F74"/>
    <w:rsid w:val="5ED16865"/>
    <w:rsid w:val="5ED3491B"/>
    <w:rsid w:val="5EDC7A27"/>
    <w:rsid w:val="5EF534F9"/>
    <w:rsid w:val="5F013085"/>
    <w:rsid w:val="5F0A76DA"/>
    <w:rsid w:val="5F0D5996"/>
    <w:rsid w:val="5F2562CA"/>
    <w:rsid w:val="5F26221E"/>
    <w:rsid w:val="5F286743"/>
    <w:rsid w:val="5F2F7ED9"/>
    <w:rsid w:val="5F306CED"/>
    <w:rsid w:val="5F3C4C53"/>
    <w:rsid w:val="5F4F5BCB"/>
    <w:rsid w:val="5F551747"/>
    <w:rsid w:val="5F5716C0"/>
    <w:rsid w:val="5F694C67"/>
    <w:rsid w:val="5F7619EB"/>
    <w:rsid w:val="5F7D6D8C"/>
    <w:rsid w:val="5F8B4620"/>
    <w:rsid w:val="5F9528EE"/>
    <w:rsid w:val="5FA7096D"/>
    <w:rsid w:val="5FAC6498"/>
    <w:rsid w:val="5FC7291F"/>
    <w:rsid w:val="5FD47FE4"/>
    <w:rsid w:val="5FFA7AB9"/>
    <w:rsid w:val="5FFC4413"/>
    <w:rsid w:val="5FFD5E3A"/>
    <w:rsid w:val="600437FA"/>
    <w:rsid w:val="600743A8"/>
    <w:rsid w:val="60206354"/>
    <w:rsid w:val="6051174F"/>
    <w:rsid w:val="6063303A"/>
    <w:rsid w:val="6075426B"/>
    <w:rsid w:val="607C5456"/>
    <w:rsid w:val="60957074"/>
    <w:rsid w:val="609F65CB"/>
    <w:rsid w:val="60BB0A7A"/>
    <w:rsid w:val="60BC7DEE"/>
    <w:rsid w:val="60C74A21"/>
    <w:rsid w:val="60DB227B"/>
    <w:rsid w:val="60F21E73"/>
    <w:rsid w:val="61024130"/>
    <w:rsid w:val="61153146"/>
    <w:rsid w:val="611543DC"/>
    <w:rsid w:val="61277A35"/>
    <w:rsid w:val="612A3A23"/>
    <w:rsid w:val="612B67A0"/>
    <w:rsid w:val="61355E2F"/>
    <w:rsid w:val="6142249C"/>
    <w:rsid w:val="614930ED"/>
    <w:rsid w:val="61564BE3"/>
    <w:rsid w:val="61684309"/>
    <w:rsid w:val="61785EC4"/>
    <w:rsid w:val="618D50CC"/>
    <w:rsid w:val="619F0D7C"/>
    <w:rsid w:val="61B31A9E"/>
    <w:rsid w:val="61FB584D"/>
    <w:rsid w:val="620364A8"/>
    <w:rsid w:val="62071C02"/>
    <w:rsid w:val="621E4C4D"/>
    <w:rsid w:val="623056EA"/>
    <w:rsid w:val="625D0696"/>
    <w:rsid w:val="62613B06"/>
    <w:rsid w:val="62635042"/>
    <w:rsid w:val="62684B8C"/>
    <w:rsid w:val="627177B1"/>
    <w:rsid w:val="627320CA"/>
    <w:rsid w:val="628B397E"/>
    <w:rsid w:val="628E5956"/>
    <w:rsid w:val="629160EA"/>
    <w:rsid w:val="6298189A"/>
    <w:rsid w:val="629A39E3"/>
    <w:rsid w:val="62A30DC6"/>
    <w:rsid w:val="62AA2C3C"/>
    <w:rsid w:val="62C5019F"/>
    <w:rsid w:val="62DB5AB5"/>
    <w:rsid w:val="62DE1699"/>
    <w:rsid w:val="62E14691"/>
    <w:rsid w:val="62F65252"/>
    <w:rsid w:val="62FB09B2"/>
    <w:rsid w:val="63134A2D"/>
    <w:rsid w:val="6328659D"/>
    <w:rsid w:val="633814ED"/>
    <w:rsid w:val="63381D6F"/>
    <w:rsid w:val="63387553"/>
    <w:rsid w:val="633D5AF8"/>
    <w:rsid w:val="63505927"/>
    <w:rsid w:val="636D0B45"/>
    <w:rsid w:val="636E387A"/>
    <w:rsid w:val="637914D0"/>
    <w:rsid w:val="63810AD0"/>
    <w:rsid w:val="63A72404"/>
    <w:rsid w:val="63B07975"/>
    <w:rsid w:val="63B27372"/>
    <w:rsid w:val="63B825F6"/>
    <w:rsid w:val="63C4488E"/>
    <w:rsid w:val="63E73739"/>
    <w:rsid w:val="64426422"/>
    <w:rsid w:val="64473158"/>
    <w:rsid w:val="64520F83"/>
    <w:rsid w:val="648B26DB"/>
    <w:rsid w:val="64AD4155"/>
    <w:rsid w:val="64BE25DF"/>
    <w:rsid w:val="64C81905"/>
    <w:rsid w:val="64CE5E98"/>
    <w:rsid w:val="64D31C83"/>
    <w:rsid w:val="64D34608"/>
    <w:rsid w:val="64DE5D0B"/>
    <w:rsid w:val="64E227D2"/>
    <w:rsid w:val="64E96145"/>
    <w:rsid w:val="64F94FB6"/>
    <w:rsid w:val="6509385A"/>
    <w:rsid w:val="652B4FBC"/>
    <w:rsid w:val="65395652"/>
    <w:rsid w:val="654725D5"/>
    <w:rsid w:val="655F654B"/>
    <w:rsid w:val="65744A4C"/>
    <w:rsid w:val="657B6177"/>
    <w:rsid w:val="65A56A34"/>
    <w:rsid w:val="65A7333D"/>
    <w:rsid w:val="65B76955"/>
    <w:rsid w:val="65DB4F95"/>
    <w:rsid w:val="65E30F04"/>
    <w:rsid w:val="65F46511"/>
    <w:rsid w:val="65FC093C"/>
    <w:rsid w:val="661D647B"/>
    <w:rsid w:val="66544FA9"/>
    <w:rsid w:val="667218DC"/>
    <w:rsid w:val="66884C53"/>
    <w:rsid w:val="66A8569F"/>
    <w:rsid w:val="66C332CA"/>
    <w:rsid w:val="66EB74B9"/>
    <w:rsid w:val="66EF68CF"/>
    <w:rsid w:val="67114C48"/>
    <w:rsid w:val="67194960"/>
    <w:rsid w:val="671D35ED"/>
    <w:rsid w:val="672B4FF3"/>
    <w:rsid w:val="67476F6A"/>
    <w:rsid w:val="67484DA3"/>
    <w:rsid w:val="67522659"/>
    <w:rsid w:val="676175B2"/>
    <w:rsid w:val="67934084"/>
    <w:rsid w:val="67BC1322"/>
    <w:rsid w:val="67CB129B"/>
    <w:rsid w:val="67CC1AA0"/>
    <w:rsid w:val="67F5591A"/>
    <w:rsid w:val="67F62DF2"/>
    <w:rsid w:val="681622C3"/>
    <w:rsid w:val="6836133E"/>
    <w:rsid w:val="6849435B"/>
    <w:rsid w:val="684D2930"/>
    <w:rsid w:val="68616F99"/>
    <w:rsid w:val="68694610"/>
    <w:rsid w:val="68864363"/>
    <w:rsid w:val="68907D17"/>
    <w:rsid w:val="68A73FC4"/>
    <w:rsid w:val="68B0253E"/>
    <w:rsid w:val="68B65562"/>
    <w:rsid w:val="68C75B8E"/>
    <w:rsid w:val="68DB608B"/>
    <w:rsid w:val="68F31CB3"/>
    <w:rsid w:val="68FC5643"/>
    <w:rsid w:val="696C69FE"/>
    <w:rsid w:val="69751A44"/>
    <w:rsid w:val="69845FBB"/>
    <w:rsid w:val="699639A3"/>
    <w:rsid w:val="69A517C1"/>
    <w:rsid w:val="69BE1E47"/>
    <w:rsid w:val="69E41135"/>
    <w:rsid w:val="69ED55BD"/>
    <w:rsid w:val="69F64D2D"/>
    <w:rsid w:val="6A274783"/>
    <w:rsid w:val="6A4744F4"/>
    <w:rsid w:val="6A592A56"/>
    <w:rsid w:val="6A6D7D45"/>
    <w:rsid w:val="6A7177BA"/>
    <w:rsid w:val="6A781A6E"/>
    <w:rsid w:val="6A7F16CC"/>
    <w:rsid w:val="6A7F287F"/>
    <w:rsid w:val="6A81641E"/>
    <w:rsid w:val="6A8A0BE1"/>
    <w:rsid w:val="6A8F1627"/>
    <w:rsid w:val="6A9422F4"/>
    <w:rsid w:val="6AB679B1"/>
    <w:rsid w:val="6AC41FD2"/>
    <w:rsid w:val="6AC60B66"/>
    <w:rsid w:val="6AC82988"/>
    <w:rsid w:val="6AD9782B"/>
    <w:rsid w:val="6AEF1DCB"/>
    <w:rsid w:val="6B146FAA"/>
    <w:rsid w:val="6B276DA7"/>
    <w:rsid w:val="6B476E8A"/>
    <w:rsid w:val="6B5770EA"/>
    <w:rsid w:val="6B5774F8"/>
    <w:rsid w:val="6B690201"/>
    <w:rsid w:val="6B7B5A05"/>
    <w:rsid w:val="6B806D42"/>
    <w:rsid w:val="6BB82159"/>
    <w:rsid w:val="6C0F7218"/>
    <w:rsid w:val="6C1E2552"/>
    <w:rsid w:val="6C387D98"/>
    <w:rsid w:val="6C39265B"/>
    <w:rsid w:val="6C4D06FE"/>
    <w:rsid w:val="6C4D6722"/>
    <w:rsid w:val="6C584D1B"/>
    <w:rsid w:val="6C5850C7"/>
    <w:rsid w:val="6C5969E5"/>
    <w:rsid w:val="6C5F2292"/>
    <w:rsid w:val="6C682369"/>
    <w:rsid w:val="6CB400A2"/>
    <w:rsid w:val="6CC463D4"/>
    <w:rsid w:val="6CDB573E"/>
    <w:rsid w:val="6CFE307C"/>
    <w:rsid w:val="6D245F96"/>
    <w:rsid w:val="6D30627B"/>
    <w:rsid w:val="6D437B25"/>
    <w:rsid w:val="6D516DD3"/>
    <w:rsid w:val="6D637D4D"/>
    <w:rsid w:val="6D641F54"/>
    <w:rsid w:val="6D6A50B2"/>
    <w:rsid w:val="6D6D6C5A"/>
    <w:rsid w:val="6D745F31"/>
    <w:rsid w:val="6D884BAD"/>
    <w:rsid w:val="6D8E39AD"/>
    <w:rsid w:val="6D967C55"/>
    <w:rsid w:val="6D984D2F"/>
    <w:rsid w:val="6DAC2A75"/>
    <w:rsid w:val="6DB87679"/>
    <w:rsid w:val="6DBF6742"/>
    <w:rsid w:val="6DD703B2"/>
    <w:rsid w:val="6DF459D2"/>
    <w:rsid w:val="6DFE5D5B"/>
    <w:rsid w:val="6E040B69"/>
    <w:rsid w:val="6E13287D"/>
    <w:rsid w:val="6E165A4F"/>
    <w:rsid w:val="6E3735D4"/>
    <w:rsid w:val="6E602467"/>
    <w:rsid w:val="6E79772D"/>
    <w:rsid w:val="6E805CBC"/>
    <w:rsid w:val="6E955461"/>
    <w:rsid w:val="6ED70BDD"/>
    <w:rsid w:val="6EF14458"/>
    <w:rsid w:val="6F02591A"/>
    <w:rsid w:val="6F077D6E"/>
    <w:rsid w:val="6F22245A"/>
    <w:rsid w:val="6F6135BF"/>
    <w:rsid w:val="6FA240C2"/>
    <w:rsid w:val="6FB149D1"/>
    <w:rsid w:val="6FBE3FBB"/>
    <w:rsid w:val="6FD43B8A"/>
    <w:rsid w:val="6FDD60C4"/>
    <w:rsid w:val="6FE725EF"/>
    <w:rsid w:val="6FEE727B"/>
    <w:rsid w:val="6FF70753"/>
    <w:rsid w:val="70213463"/>
    <w:rsid w:val="703D1807"/>
    <w:rsid w:val="707B64AB"/>
    <w:rsid w:val="70917A73"/>
    <w:rsid w:val="709D3B28"/>
    <w:rsid w:val="70BD4A76"/>
    <w:rsid w:val="70C14433"/>
    <w:rsid w:val="70D00AE9"/>
    <w:rsid w:val="70D06E4D"/>
    <w:rsid w:val="70E301B7"/>
    <w:rsid w:val="70E95470"/>
    <w:rsid w:val="71015D2D"/>
    <w:rsid w:val="71031AA6"/>
    <w:rsid w:val="711576CB"/>
    <w:rsid w:val="711A6DEF"/>
    <w:rsid w:val="71226CC0"/>
    <w:rsid w:val="712769F1"/>
    <w:rsid w:val="71327E37"/>
    <w:rsid w:val="713B4744"/>
    <w:rsid w:val="713F2422"/>
    <w:rsid w:val="714472B1"/>
    <w:rsid w:val="71630796"/>
    <w:rsid w:val="716A2E3C"/>
    <w:rsid w:val="71721365"/>
    <w:rsid w:val="718340C3"/>
    <w:rsid w:val="718F3339"/>
    <w:rsid w:val="718F36D8"/>
    <w:rsid w:val="7198779D"/>
    <w:rsid w:val="71A5395A"/>
    <w:rsid w:val="71A861A9"/>
    <w:rsid w:val="71E002A1"/>
    <w:rsid w:val="72296857"/>
    <w:rsid w:val="72337E0B"/>
    <w:rsid w:val="72556331"/>
    <w:rsid w:val="72780225"/>
    <w:rsid w:val="72795E7F"/>
    <w:rsid w:val="727C7A31"/>
    <w:rsid w:val="728074DB"/>
    <w:rsid w:val="729F3C76"/>
    <w:rsid w:val="72B02D03"/>
    <w:rsid w:val="72B71431"/>
    <w:rsid w:val="72CC5CD0"/>
    <w:rsid w:val="72D25462"/>
    <w:rsid w:val="72E050C4"/>
    <w:rsid w:val="72F7309D"/>
    <w:rsid w:val="72FD4DEA"/>
    <w:rsid w:val="73201FC2"/>
    <w:rsid w:val="732D1540"/>
    <w:rsid w:val="734B3290"/>
    <w:rsid w:val="73626323"/>
    <w:rsid w:val="73677182"/>
    <w:rsid w:val="737E61AC"/>
    <w:rsid w:val="73802C42"/>
    <w:rsid w:val="7386251A"/>
    <w:rsid w:val="7396128E"/>
    <w:rsid w:val="73A830B9"/>
    <w:rsid w:val="73F53558"/>
    <w:rsid w:val="73FA47D2"/>
    <w:rsid w:val="740D0636"/>
    <w:rsid w:val="742C775B"/>
    <w:rsid w:val="7440240A"/>
    <w:rsid w:val="74414E08"/>
    <w:rsid w:val="74537CD6"/>
    <w:rsid w:val="747C6344"/>
    <w:rsid w:val="74923E43"/>
    <w:rsid w:val="749B66E7"/>
    <w:rsid w:val="74A64907"/>
    <w:rsid w:val="74D61194"/>
    <w:rsid w:val="74D73F9B"/>
    <w:rsid w:val="74E04B0A"/>
    <w:rsid w:val="74EE51EA"/>
    <w:rsid w:val="752E254E"/>
    <w:rsid w:val="753C1867"/>
    <w:rsid w:val="755B1799"/>
    <w:rsid w:val="756A5430"/>
    <w:rsid w:val="758C2F8C"/>
    <w:rsid w:val="758F2F81"/>
    <w:rsid w:val="759417EE"/>
    <w:rsid w:val="75964EB8"/>
    <w:rsid w:val="75C0283B"/>
    <w:rsid w:val="75E35823"/>
    <w:rsid w:val="75EE64CB"/>
    <w:rsid w:val="75F40A1E"/>
    <w:rsid w:val="75F663BF"/>
    <w:rsid w:val="760F119D"/>
    <w:rsid w:val="76106289"/>
    <w:rsid w:val="7617178B"/>
    <w:rsid w:val="762A7AD4"/>
    <w:rsid w:val="76420CD4"/>
    <w:rsid w:val="76520E21"/>
    <w:rsid w:val="765B7C8E"/>
    <w:rsid w:val="768A40CF"/>
    <w:rsid w:val="769F5EC9"/>
    <w:rsid w:val="76A753BB"/>
    <w:rsid w:val="76AE1534"/>
    <w:rsid w:val="76C757A0"/>
    <w:rsid w:val="76E539FB"/>
    <w:rsid w:val="76EB74B0"/>
    <w:rsid w:val="76F5176C"/>
    <w:rsid w:val="76F679B7"/>
    <w:rsid w:val="76FE165C"/>
    <w:rsid w:val="772A61FC"/>
    <w:rsid w:val="773C62B1"/>
    <w:rsid w:val="77784127"/>
    <w:rsid w:val="77791D4E"/>
    <w:rsid w:val="777E5D17"/>
    <w:rsid w:val="778156F1"/>
    <w:rsid w:val="778C5FE5"/>
    <w:rsid w:val="779C67B0"/>
    <w:rsid w:val="779E219A"/>
    <w:rsid w:val="77AB242D"/>
    <w:rsid w:val="77B42E98"/>
    <w:rsid w:val="77C46A0C"/>
    <w:rsid w:val="77DC6460"/>
    <w:rsid w:val="77DE6884"/>
    <w:rsid w:val="77E3357B"/>
    <w:rsid w:val="77F520C5"/>
    <w:rsid w:val="77F560F5"/>
    <w:rsid w:val="77F847E9"/>
    <w:rsid w:val="783C3AEF"/>
    <w:rsid w:val="784B7A13"/>
    <w:rsid w:val="78522306"/>
    <w:rsid w:val="7853415F"/>
    <w:rsid w:val="78726720"/>
    <w:rsid w:val="78C14611"/>
    <w:rsid w:val="78CA60EA"/>
    <w:rsid w:val="78DA7590"/>
    <w:rsid w:val="78E77E36"/>
    <w:rsid w:val="78E825EA"/>
    <w:rsid w:val="78F950A4"/>
    <w:rsid w:val="79003693"/>
    <w:rsid w:val="790D6B89"/>
    <w:rsid w:val="790E1111"/>
    <w:rsid w:val="791F1447"/>
    <w:rsid w:val="792453B6"/>
    <w:rsid w:val="79306F85"/>
    <w:rsid w:val="79763EC9"/>
    <w:rsid w:val="79974DFF"/>
    <w:rsid w:val="79C2448A"/>
    <w:rsid w:val="79D54370"/>
    <w:rsid w:val="79DA3A92"/>
    <w:rsid w:val="79DF58A7"/>
    <w:rsid w:val="79EB1543"/>
    <w:rsid w:val="79FA0514"/>
    <w:rsid w:val="7A1D5DAF"/>
    <w:rsid w:val="7A267124"/>
    <w:rsid w:val="7A421BB7"/>
    <w:rsid w:val="7A52754F"/>
    <w:rsid w:val="7A643614"/>
    <w:rsid w:val="7A715CD2"/>
    <w:rsid w:val="7A7B08FF"/>
    <w:rsid w:val="7A8B53FF"/>
    <w:rsid w:val="7A8D7124"/>
    <w:rsid w:val="7A933391"/>
    <w:rsid w:val="7A996CCA"/>
    <w:rsid w:val="7AB23348"/>
    <w:rsid w:val="7AB63DF2"/>
    <w:rsid w:val="7AC42300"/>
    <w:rsid w:val="7AE54F8B"/>
    <w:rsid w:val="7AF64429"/>
    <w:rsid w:val="7B197881"/>
    <w:rsid w:val="7B1B1B6A"/>
    <w:rsid w:val="7B705B15"/>
    <w:rsid w:val="7B7578F4"/>
    <w:rsid w:val="7B7A6490"/>
    <w:rsid w:val="7B7B1CB4"/>
    <w:rsid w:val="7B836E92"/>
    <w:rsid w:val="7B850A56"/>
    <w:rsid w:val="7B9B2765"/>
    <w:rsid w:val="7BB644FD"/>
    <w:rsid w:val="7BC20B63"/>
    <w:rsid w:val="7BC8663C"/>
    <w:rsid w:val="7BCC09E7"/>
    <w:rsid w:val="7BE854D1"/>
    <w:rsid w:val="7BE92C4E"/>
    <w:rsid w:val="7BFC15CB"/>
    <w:rsid w:val="7C0303FC"/>
    <w:rsid w:val="7C205083"/>
    <w:rsid w:val="7C4D1E27"/>
    <w:rsid w:val="7C526968"/>
    <w:rsid w:val="7C595023"/>
    <w:rsid w:val="7C7B7C83"/>
    <w:rsid w:val="7C7E771B"/>
    <w:rsid w:val="7C927FE6"/>
    <w:rsid w:val="7C966584"/>
    <w:rsid w:val="7CB20967"/>
    <w:rsid w:val="7CB9570E"/>
    <w:rsid w:val="7CC14544"/>
    <w:rsid w:val="7CCA2F41"/>
    <w:rsid w:val="7CD84EE8"/>
    <w:rsid w:val="7CE05519"/>
    <w:rsid w:val="7D24263F"/>
    <w:rsid w:val="7D256A97"/>
    <w:rsid w:val="7D373316"/>
    <w:rsid w:val="7D4551F4"/>
    <w:rsid w:val="7D70350D"/>
    <w:rsid w:val="7D7B09A3"/>
    <w:rsid w:val="7D8164DD"/>
    <w:rsid w:val="7D863DDB"/>
    <w:rsid w:val="7D8A1DA6"/>
    <w:rsid w:val="7D8E2D09"/>
    <w:rsid w:val="7DAA2DBA"/>
    <w:rsid w:val="7DAB169E"/>
    <w:rsid w:val="7DEB1A07"/>
    <w:rsid w:val="7DF143C5"/>
    <w:rsid w:val="7E014E6A"/>
    <w:rsid w:val="7E161142"/>
    <w:rsid w:val="7E16750D"/>
    <w:rsid w:val="7E1C5506"/>
    <w:rsid w:val="7E1D1C37"/>
    <w:rsid w:val="7E1D3A7B"/>
    <w:rsid w:val="7E446E38"/>
    <w:rsid w:val="7E471A9A"/>
    <w:rsid w:val="7E4B5319"/>
    <w:rsid w:val="7E5A61AD"/>
    <w:rsid w:val="7E65401C"/>
    <w:rsid w:val="7E695338"/>
    <w:rsid w:val="7E745FBD"/>
    <w:rsid w:val="7E835457"/>
    <w:rsid w:val="7E856B84"/>
    <w:rsid w:val="7E8F4979"/>
    <w:rsid w:val="7E970F93"/>
    <w:rsid w:val="7EED7709"/>
    <w:rsid w:val="7EF3483F"/>
    <w:rsid w:val="7F0709B3"/>
    <w:rsid w:val="7F075696"/>
    <w:rsid w:val="7F1135E0"/>
    <w:rsid w:val="7F3A3035"/>
    <w:rsid w:val="7F4654CF"/>
    <w:rsid w:val="7F4F63C5"/>
    <w:rsid w:val="7F5106C8"/>
    <w:rsid w:val="7F5722B2"/>
    <w:rsid w:val="7F601629"/>
    <w:rsid w:val="7F8C2259"/>
    <w:rsid w:val="7F9B2D0E"/>
    <w:rsid w:val="7FB12A09"/>
    <w:rsid w:val="7FB67635"/>
    <w:rsid w:val="7FE35AD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qFormat="1" w:unhideWhenUsed="0" w:uiPriority="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qFormat="1"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1040" w:firstLineChars="20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57"/>
    <w:qFormat/>
    <w:uiPriority w:val="0"/>
    <w:pPr>
      <w:keepNext/>
      <w:keepLines/>
      <w:spacing w:before="340" w:after="330" w:line="240" w:lineRule="auto"/>
      <w:ind w:firstLine="0" w:firstLineChars="0"/>
      <w:jc w:val="center"/>
      <w:outlineLvl w:val="0"/>
    </w:pPr>
    <w:rPr>
      <w:rFonts w:eastAsia="黑体"/>
      <w:kern w:val="44"/>
      <w:sz w:val="30"/>
      <w:szCs w:val="30"/>
    </w:rPr>
  </w:style>
  <w:style w:type="paragraph" w:styleId="4">
    <w:name w:val="heading 2"/>
    <w:basedOn w:val="1"/>
    <w:next w:val="1"/>
    <w:link w:val="58"/>
    <w:qFormat/>
    <w:uiPriority w:val="0"/>
    <w:pPr>
      <w:keepNext/>
      <w:keepLines/>
      <w:spacing w:line="480" w:lineRule="exact"/>
      <w:ind w:firstLine="200" w:firstLineChars="200"/>
      <w:outlineLvl w:val="1"/>
    </w:pPr>
    <w:rPr>
      <w:rFonts w:ascii="Times New Roman" w:hAnsi="Times New Roman" w:eastAsia="宋体"/>
      <w:b/>
      <w:bCs/>
      <w:sz w:val="21"/>
      <w:szCs w:val="21"/>
    </w:rPr>
  </w:style>
  <w:style w:type="paragraph" w:styleId="5">
    <w:name w:val="heading 3"/>
    <w:basedOn w:val="1"/>
    <w:next w:val="1"/>
    <w:link w:val="59"/>
    <w:qFormat/>
    <w:uiPriority w:val="0"/>
    <w:pPr>
      <w:keepNext/>
      <w:keepLines/>
      <w:spacing w:before="260" w:after="260" w:line="416" w:lineRule="auto"/>
      <w:ind w:firstLine="200" w:firstLineChars="200"/>
      <w:outlineLvl w:val="2"/>
    </w:pPr>
    <w:rPr>
      <w:b/>
      <w:bCs/>
      <w:sz w:val="32"/>
      <w:szCs w:val="32"/>
    </w:rPr>
  </w:style>
  <w:style w:type="paragraph" w:styleId="6">
    <w:name w:val="heading 4"/>
    <w:basedOn w:val="1"/>
    <w:next w:val="1"/>
    <w:link w:val="60"/>
    <w:qFormat/>
    <w:uiPriority w:val="0"/>
    <w:pPr>
      <w:keepNext/>
      <w:keepLines/>
      <w:adjustRightInd w:val="0"/>
      <w:snapToGrid w:val="0"/>
      <w:textAlignment w:val="baseline"/>
      <w:outlineLvl w:val="3"/>
    </w:pPr>
    <w:rPr>
      <w:rFonts w:ascii="黑体" w:eastAsia="黑体"/>
      <w:b/>
      <w:kern w:val="0"/>
      <w:sz w:val="28"/>
      <w:szCs w:val="20"/>
    </w:rPr>
  </w:style>
  <w:style w:type="paragraph" w:styleId="7">
    <w:name w:val="heading 5"/>
    <w:basedOn w:val="1"/>
    <w:next w:val="1"/>
    <w:link w:val="61"/>
    <w:qFormat/>
    <w:uiPriority w:val="0"/>
    <w:pPr>
      <w:keepNext/>
      <w:keepLines/>
      <w:tabs>
        <w:tab w:val="left" w:pos="1008"/>
      </w:tabs>
      <w:autoSpaceDE w:val="0"/>
      <w:autoSpaceDN w:val="0"/>
      <w:adjustRightInd w:val="0"/>
      <w:spacing w:before="280" w:after="290" w:line="376" w:lineRule="auto"/>
      <w:ind w:left="1008" w:hanging="1008" w:firstLineChars="200"/>
      <w:outlineLvl w:val="4"/>
    </w:pPr>
    <w:rPr>
      <w:rFonts w:ascii="宋体" w:cs="宋体"/>
      <w:b/>
      <w:bCs/>
      <w:sz w:val="28"/>
      <w:szCs w:val="28"/>
      <w:lang w:val="zh-CN"/>
    </w:rPr>
  </w:style>
  <w:style w:type="paragraph" w:styleId="8">
    <w:name w:val="heading 6"/>
    <w:basedOn w:val="1"/>
    <w:next w:val="1"/>
    <w:link w:val="62"/>
    <w:qFormat/>
    <w:uiPriority w:val="0"/>
    <w:pPr>
      <w:keepNext/>
      <w:keepLines/>
      <w:tabs>
        <w:tab w:val="left" w:pos="1152"/>
      </w:tabs>
      <w:autoSpaceDE w:val="0"/>
      <w:autoSpaceDN w:val="0"/>
      <w:adjustRightInd w:val="0"/>
      <w:spacing w:before="240" w:after="64" w:line="320" w:lineRule="auto"/>
      <w:ind w:left="1152" w:hanging="1152" w:firstLineChars="200"/>
      <w:outlineLvl w:val="5"/>
    </w:pPr>
    <w:rPr>
      <w:rFonts w:ascii="Arial" w:hAnsi="Arial" w:eastAsia="黑体" w:cs="宋体"/>
      <w:b/>
      <w:bCs/>
      <w:sz w:val="24"/>
      <w:lang w:val="zh-CN"/>
    </w:rPr>
  </w:style>
  <w:style w:type="paragraph" w:styleId="9">
    <w:name w:val="heading 7"/>
    <w:basedOn w:val="1"/>
    <w:next w:val="1"/>
    <w:link w:val="63"/>
    <w:qFormat/>
    <w:uiPriority w:val="0"/>
    <w:pPr>
      <w:keepNext/>
      <w:keepLines/>
      <w:tabs>
        <w:tab w:val="left" w:pos="1296"/>
      </w:tabs>
      <w:autoSpaceDE w:val="0"/>
      <w:autoSpaceDN w:val="0"/>
      <w:adjustRightInd w:val="0"/>
      <w:spacing w:before="240" w:after="64" w:line="320" w:lineRule="auto"/>
      <w:ind w:left="1296" w:hanging="1296" w:firstLineChars="200"/>
      <w:outlineLvl w:val="6"/>
    </w:pPr>
    <w:rPr>
      <w:rFonts w:ascii="宋体" w:cs="宋体"/>
      <w:b/>
      <w:bCs/>
      <w:sz w:val="24"/>
      <w:lang w:val="zh-CN"/>
    </w:rPr>
  </w:style>
  <w:style w:type="paragraph" w:styleId="10">
    <w:name w:val="heading 8"/>
    <w:basedOn w:val="1"/>
    <w:next w:val="1"/>
    <w:link w:val="64"/>
    <w:qFormat/>
    <w:uiPriority w:val="0"/>
    <w:pPr>
      <w:keepNext/>
      <w:keepLines/>
      <w:tabs>
        <w:tab w:val="left" w:pos="1440"/>
      </w:tabs>
      <w:autoSpaceDE w:val="0"/>
      <w:autoSpaceDN w:val="0"/>
      <w:adjustRightInd w:val="0"/>
      <w:spacing w:before="240" w:after="64" w:line="320" w:lineRule="atLeast"/>
      <w:ind w:left="1440" w:hanging="1440" w:firstLineChars="200"/>
      <w:outlineLvl w:val="7"/>
    </w:pPr>
    <w:rPr>
      <w:rFonts w:ascii="Arial" w:hAnsi="Arial" w:eastAsia="黑体" w:cs="宋体"/>
      <w:sz w:val="24"/>
      <w:lang w:val="zh-CN"/>
    </w:rPr>
  </w:style>
  <w:style w:type="paragraph" w:styleId="11">
    <w:name w:val="heading 9"/>
    <w:basedOn w:val="1"/>
    <w:next w:val="1"/>
    <w:link w:val="65"/>
    <w:qFormat/>
    <w:uiPriority w:val="0"/>
    <w:pPr>
      <w:keepNext/>
      <w:keepLines/>
      <w:tabs>
        <w:tab w:val="left" w:pos="1584"/>
      </w:tabs>
      <w:autoSpaceDE w:val="0"/>
      <w:autoSpaceDN w:val="0"/>
      <w:adjustRightInd w:val="0"/>
      <w:spacing w:before="240" w:after="64" w:line="320" w:lineRule="atLeast"/>
      <w:ind w:left="1584" w:hanging="1584" w:firstLineChars="200"/>
      <w:outlineLvl w:val="8"/>
    </w:pPr>
    <w:rPr>
      <w:rFonts w:ascii="Arial" w:hAnsi="Arial" w:eastAsia="黑体" w:cs="宋体"/>
      <w:szCs w:val="21"/>
      <w:lang w:val="zh-CN"/>
    </w:rPr>
  </w:style>
  <w:style w:type="character" w:default="1" w:styleId="46">
    <w:name w:val="Default Paragraph Font"/>
    <w:link w:val="47"/>
    <w:semiHidden/>
    <w:qFormat/>
    <w:uiPriority w:val="0"/>
    <w:rPr>
      <w:sz w:val="24"/>
    </w:rPr>
  </w:style>
  <w:style w:type="table" w:default="1" w:styleId="44">
    <w:name w:val="Normal Table"/>
    <w:semiHidden/>
    <w:qFormat/>
    <w:uiPriority w:val="0"/>
    <w:tblPr>
      <w:tblCellMar>
        <w:top w:w="0" w:type="dxa"/>
        <w:left w:w="108" w:type="dxa"/>
        <w:bottom w:w="0" w:type="dxa"/>
        <w:right w:w="108" w:type="dxa"/>
      </w:tblCellMar>
    </w:tblPr>
  </w:style>
  <w:style w:type="paragraph" w:styleId="2">
    <w:name w:val="Body Text"/>
    <w:basedOn w:val="1"/>
    <w:next w:val="1"/>
    <w:link w:val="56"/>
    <w:qFormat/>
    <w:uiPriority w:val="0"/>
    <w:pPr>
      <w:spacing w:after="120"/>
    </w:pPr>
  </w:style>
  <w:style w:type="paragraph" w:styleId="12">
    <w:name w:val="List 3"/>
    <w:basedOn w:val="1"/>
    <w:qFormat/>
    <w:uiPriority w:val="0"/>
    <w:pPr>
      <w:ind w:left="100" w:leftChars="400" w:hanging="200" w:hangingChars="200"/>
    </w:pPr>
    <w:rPr>
      <w:rFonts w:ascii="Times New Roman" w:hAnsi="Times New Roman" w:eastAsia="宋体"/>
    </w:rPr>
  </w:style>
  <w:style w:type="paragraph" w:styleId="13">
    <w:name w:val="Note Heading"/>
    <w:basedOn w:val="1"/>
    <w:next w:val="1"/>
    <w:qFormat/>
    <w:uiPriority w:val="0"/>
    <w:pPr>
      <w:adjustRightInd w:val="0"/>
      <w:spacing w:line="360" w:lineRule="auto"/>
      <w:jc w:val="center"/>
    </w:pPr>
    <w:rPr>
      <w:szCs w:val="24"/>
    </w:rPr>
  </w:style>
  <w:style w:type="paragraph" w:styleId="14">
    <w:name w:val="Normal Indent"/>
    <w:basedOn w:val="1"/>
    <w:qFormat/>
    <w:uiPriority w:val="0"/>
    <w:pPr>
      <w:ind w:firstLine="420" w:firstLineChars="200"/>
    </w:pPr>
  </w:style>
  <w:style w:type="paragraph" w:styleId="15">
    <w:name w:val="caption"/>
    <w:basedOn w:val="1"/>
    <w:next w:val="1"/>
    <w:qFormat/>
    <w:uiPriority w:val="0"/>
    <w:rPr>
      <w:rFonts w:ascii="Arial" w:hAnsi="Arial" w:eastAsia="黑体" w:cs="Arial"/>
      <w:sz w:val="20"/>
      <w:szCs w:val="20"/>
    </w:rPr>
  </w:style>
  <w:style w:type="paragraph" w:styleId="16">
    <w:name w:val="Document Map"/>
    <w:basedOn w:val="1"/>
    <w:link w:val="66"/>
    <w:semiHidden/>
    <w:qFormat/>
    <w:uiPriority w:val="0"/>
    <w:pPr>
      <w:shd w:val="clear" w:color="auto" w:fill="000080"/>
    </w:pPr>
  </w:style>
  <w:style w:type="paragraph" w:styleId="17">
    <w:name w:val="annotation text"/>
    <w:basedOn w:val="1"/>
    <w:link w:val="67"/>
    <w:qFormat/>
    <w:uiPriority w:val="0"/>
    <w:pPr>
      <w:jc w:val="left"/>
    </w:pPr>
  </w:style>
  <w:style w:type="paragraph" w:styleId="18">
    <w:name w:val="Body Text 3"/>
    <w:basedOn w:val="1"/>
    <w:link w:val="68"/>
    <w:qFormat/>
    <w:uiPriority w:val="0"/>
    <w:rPr>
      <w:rFonts w:eastAsia="仿宋_GB2312"/>
      <w:sz w:val="24"/>
    </w:rPr>
  </w:style>
  <w:style w:type="paragraph" w:styleId="19">
    <w:name w:val="Body Text Indent"/>
    <w:basedOn w:val="1"/>
    <w:next w:val="1"/>
    <w:link w:val="69"/>
    <w:qFormat/>
    <w:uiPriority w:val="0"/>
    <w:pPr>
      <w:ind w:left="-3" w:firstLine="423"/>
    </w:pPr>
    <w:rPr>
      <w:rFonts w:ascii="楷体_GB2312" w:eastAsia="楷体_GB2312"/>
    </w:rPr>
  </w:style>
  <w:style w:type="paragraph" w:styleId="20">
    <w:name w:val="Block Text"/>
    <w:basedOn w:val="1"/>
    <w:qFormat/>
    <w:uiPriority w:val="0"/>
    <w:pPr>
      <w:spacing w:before="120"/>
      <w:ind w:left="113" w:right="113"/>
    </w:pPr>
    <w:rPr>
      <w:rFonts w:ascii="Arial" w:hAnsi="Arial"/>
      <w:kern w:val="24"/>
      <w:sz w:val="24"/>
    </w:rPr>
  </w:style>
  <w:style w:type="paragraph" w:styleId="21">
    <w:name w:val="toc 3"/>
    <w:basedOn w:val="1"/>
    <w:next w:val="1"/>
    <w:qFormat/>
    <w:uiPriority w:val="0"/>
    <w:pPr>
      <w:ind w:left="840" w:leftChars="400"/>
    </w:pPr>
  </w:style>
  <w:style w:type="paragraph" w:styleId="22">
    <w:name w:val="Plain Text"/>
    <w:basedOn w:val="1"/>
    <w:link w:val="70"/>
    <w:qFormat/>
    <w:uiPriority w:val="0"/>
    <w:pPr>
      <w:widowControl/>
      <w:jc w:val="left"/>
    </w:pPr>
    <w:rPr>
      <w:rFonts w:ascii="宋体" w:hAnsi="Courier New"/>
      <w:kern w:val="0"/>
      <w:szCs w:val="20"/>
    </w:rPr>
  </w:style>
  <w:style w:type="paragraph" w:styleId="23">
    <w:name w:val="List Bullet 5"/>
    <w:basedOn w:val="1"/>
    <w:qFormat/>
    <w:uiPriority w:val="0"/>
    <w:pPr>
      <w:numPr>
        <w:ilvl w:val="0"/>
        <w:numId w:val="1"/>
      </w:numPr>
    </w:pPr>
  </w:style>
  <w:style w:type="paragraph" w:styleId="24">
    <w:name w:val="Date"/>
    <w:basedOn w:val="1"/>
    <w:next w:val="1"/>
    <w:link w:val="71"/>
    <w:qFormat/>
    <w:uiPriority w:val="0"/>
    <w:pPr>
      <w:ind w:left="100" w:leftChars="2500"/>
    </w:pPr>
  </w:style>
  <w:style w:type="paragraph" w:styleId="25">
    <w:name w:val="Body Text Indent 2"/>
    <w:basedOn w:val="1"/>
    <w:link w:val="72"/>
    <w:qFormat/>
    <w:uiPriority w:val="0"/>
    <w:pPr>
      <w:ind w:firstLine="420" w:firstLineChars="200"/>
    </w:pPr>
    <w:rPr>
      <w:rFonts w:ascii="楷体_GB2312" w:eastAsia="楷体_GB2312"/>
    </w:rPr>
  </w:style>
  <w:style w:type="paragraph" w:styleId="26">
    <w:name w:val="Balloon Text"/>
    <w:basedOn w:val="1"/>
    <w:link w:val="73"/>
    <w:semiHidden/>
    <w:qFormat/>
    <w:uiPriority w:val="0"/>
    <w:pPr>
      <w:spacing w:line="480" w:lineRule="exact"/>
      <w:ind w:firstLine="200" w:firstLineChars="200"/>
    </w:pPr>
    <w:rPr>
      <w:sz w:val="18"/>
      <w:szCs w:val="18"/>
    </w:rPr>
  </w:style>
  <w:style w:type="paragraph" w:styleId="27">
    <w:name w:val="footer"/>
    <w:basedOn w:val="1"/>
    <w:link w:val="74"/>
    <w:qFormat/>
    <w:uiPriority w:val="0"/>
    <w:pPr>
      <w:tabs>
        <w:tab w:val="center" w:pos="4153"/>
        <w:tab w:val="right" w:pos="8306"/>
      </w:tabs>
      <w:snapToGrid w:val="0"/>
      <w:jc w:val="left"/>
    </w:pPr>
    <w:rPr>
      <w:sz w:val="18"/>
      <w:szCs w:val="18"/>
    </w:rPr>
  </w:style>
  <w:style w:type="paragraph" w:styleId="28">
    <w:name w:val="header"/>
    <w:basedOn w:val="1"/>
    <w:link w:val="75"/>
    <w:qFormat/>
    <w:uiPriority w:val="0"/>
    <w:pPr>
      <w:pBdr>
        <w:bottom w:val="single" w:color="auto" w:sz="6" w:space="1"/>
      </w:pBdr>
      <w:tabs>
        <w:tab w:val="center" w:pos="4153"/>
        <w:tab w:val="right" w:pos="8306"/>
      </w:tabs>
      <w:snapToGrid w:val="0"/>
      <w:jc w:val="center"/>
    </w:pPr>
    <w:rPr>
      <w:sz w:val="18"/>
      <w:szCs w:val="18"/>
    </w:rPr>
  </w:style>
  <w:style w:type="paragraph" w:styleId="29">
    <w:name w:val="toc 1"/>
    <w:basedOn w:val="1"/>
    <w:next w:val="1"/>
    <w:semiHidden/>
    <w:qFormat/>
    <w:uiPriority w:val="0"/>
    <w:pPr>
      <w:spacing w:before="240" w:after="120"/>
      <w:jc w:val="left"/>
    </w:pPr>
    <w:rPr>
      <w:b/>
      <w:bCs/>
      <w:sz w:val="20"/>
      <w:szCs w:val="20"/>
    </w:rPr>
  </w:style>
  <w:style w:type="paragraph" w:styleId="30">
    <w:name w:val="index heading"/>
    <w:basedOn w:val="1"/>
    <w:next w:val="31"/>
    <w:qFormat/>
    <w:uiPriority w:val="0"/>
    <w:rPr>
      <w:szCs w:val="20"/>
    </w:rPr>
  </w:style>
  <w:style w:type="paragraph" w:styleId="31">
    <w:name w:val="index 1"/>
    <w:basedOn w:val="1"/>
    <w:next w:val="1"/>
    <w:semiHidden/>
    <w:qFormat/>
    <w:uiPriority w:val="0"/>
    <w:pPr>
      <w:ind w:firstLine="210" w:firstLineChars="100"/>
    </w:pPr>
  </w:style>
  <w:style w:type="paragraph" w:styleId="32">
    <w:name w:val="Subtitle"/>
    <w:basedOn w:val="1"/>
    <w:next w:val="1"/>
    <w:link w:val="76"/>
    <w:qFormat/>
    <w:uiPriority w:val="0"/>
    <w:pPr>
      <w:spacing w:line="240" w:lineRule="auto"/>
      <w:ind w:firstLine="0" w:firstLineChars="0"/>
      <w:jc w:val="center"/>
      <w:outlineLvl w:val="8"/>
    </w:pPr>
    <w:rPr>
      <w:rFonts w:eastAsia="黑体" w:cs="Times New Roman"/>
      <w:bCs/>
      <w:kern w:val="28"/>
      <w:sz w:val="21"/>
      <w:szCs w:val="32"/>
    </w:rPr>
  </w:style>
  <w:style w:type="paragraph" w:styleId="33">
    <w:name w:val="List"/>
    <w:basedOn w:val="1"/>
    <w:qFormat/>
    <w:uiPriority w:val="0"/>
    <w:pPr>
      <w:spacing w:line="320" w:lineRule="exact"/>
      <w:jc w:val="center"/>
    </w:pPr>
    <w:rPr>
      <w:rFonts w:ascii="楷体_GB2312" w:eastAsia="楷体_GB2312"/>
      <w:sz w:val="24"/>
      <w:szCs w:val="20"/>
    </w:rPr>
  </w:style>
  <w:style w:type="paragraph" w:styleId="34">
    <w:name w:val="toc 6"/>
    <w:basedOn w:val="1"/>
    <w:next w:val="1"/>
    <w:semiHidden/>
    <w:qFormat/>
    <w:uiPriority w:val="0"/>
    <w:pPr>
      <w:ind w:left="1050"/>
      <w:jc w:val="left"/>
    </w:pPr>
    <w:rPr>
      <w:sz w:val="18"/>
      <w:szCs w:val="18"/>
    </w:rPr>
  </w:style>
  <w:style w:type="paragraph" w:styleId="35">
    <w:name w:val="Body Text Indent 3"/>
    <w:basedOn w:val="1"/>
    <w:link w:val="77"/>
    <w:qFormat/>
    <w:uiPriority w:val="0"/>
    <w:pPr>
      <w:snapToGrid w:val="0"/>
      <w:spacing w:line="312" w:lineRule="auto"/>
      <w:ind w:firstLine="555"/>
    </w:pPr>
    <w:rPr>
      <w:rFonts w:eastAsia="仿宋_GB2312"/>
      <w:color w:val="FF0000"/>
      <w:sz w:val="28"/>
      <w:szCs w:val="20"/>
    </w:rPr>
  </w:style>
  <w:style w:type="paragraph" w:styleId="36">
    <w:name w:val="toc 2"/>
    <w:basedOn w:val="1"/>
    <w:next w:val="1"/>
    <w:qFormat/>
    <w:uiPriority w:val="39"/>
    <w:pPr>
      <w:widowControl/>
      <w:tabs>
        <w:tab w:val="left" w:pos="840"/>
        <w:tab w:val="right" w:leader="dot" w:pos="8511"/>
      </w:tabs>
      <w:spacing w:line="320" w:lineRule="exact"/>
      <w:ind w:left="210"/>
      <w:jc w:val="left"/>
    </w:pPr>
    <w:rPr>
      <w:rFonts w:ascii="Calibri" w:hAnsi="Calibri"/>
      <w:smallCaps/>
      <w:kern w:val="0"/>
      <w:sz w:val="24"/>
      <w:szCs w:val="22"/>
    </w:rPr>
  </w:style>
  <w:style w:type="paragraph" w:styleId="37">
    <w:name w:val="Body Text 2"/>
    <w:basedOn w:val="1"/>
    <w:link w:val="78"/>
    <w:qFormat/>
    <w:uiPriority w:val="0"/>
    <w:rPr>
      <w:rFonts w:eastAsia="仿宋_GB2312"/>
      <w:sz w:val="28"/>
    </w:rPr>
  </w:style>
  <w:style w:type="paragraph" w:styleId="38">
    <w:name w:val="List 4"/>
    <w:basedOn w:val="1"/>
    <w:next w:val="22"/>
    <w:qFormat/>
    <w:uiPriority w:val="0"/>
    <w:pPr>
      <w:tabs>
        <w:tab w:val="left" w:pos="480"/>
      </w:tabs>
      <w:ind w:left="100" w:leftChars="600" w:hanging="200" w:hangingChars="200"/>
      <w:contextualSpacing/>
    </w:pPr>
  </w:style>
  <w:style w:type="paragraph" w:styleId="39">
    <w:name w:val="HTML Preformatted"/>
    <w:basedOn w:val="1"/>
    <w:link w:val="7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0">
    <w:name w:val="Normal (Web)"/>
    <w:basedOn w:val="1"/>
    <w:link w:val="80"/>
    <w:qFormat/>
    <w:uiPriority w:val="0"/>
    <w:pPr>
      <w:widowControl/>
      <w:spacing w:before="100" w:beforeAutospacing="1" w:after="100" w:afterAutospacing="1"/>
      <w:jc w:val="left"/>
    </w:pPr>
    <w:rPr>
      <w:rFonts w:ascii="宋体" w:hAnsi="宋体" w:cs="宋体"/>
      <w:kern w:val="0"/>
      <w:sz w:val="24"/>
    </w:rPr>
  </w:style>
  <w:style w:type="paragraph" w:styleId="41">
    <w:name w:val="annotation subject"/>
    <w:basedOn w:val="17"/>
    <w:next w:val="17"/>
    <w:link w:val="81"/>
    <w:semiHidden/>
    <w:qFormat/>
    <w:uiPriority w:val="0"/>
    <w:rPr>
      <w:b/>
      <w:bCs/>
    </w:rPr>
  </w:style>
  <w:style w:type="paragraph" w:styleId="42">
    <w:name w:val="Body Text First Indent"/>
    <w:basedOn w:val="2"/>
    <w:next w:val="1"/>
    <w:link w:val="82"/>
    <w:qFormat/>
    <w:uiPriority w:val="99"/>
    <w:pPr>
      <w:ind w:firstLine="420" w:firstLineChars="100"/>
    </w:pPr>
  </w:style>
  <w:style w:type="paragraph" w:styleId="43">
    <w:name w:val="Body Text First Indent 2"/>
    <w:basedOn w:val="19"/>
    <w:next w:val="42"/>
    <w:link w:val="83"/>
    <w:qFormat/>
    <w:uiPriority w:val="0"/>
    <w:pPr>
      <w:spacing w:after="120"/>
      <w:ind w:left="420" w:leftChars="200" w:firstLine="420" w:firstLineChars="200"/>
    </w:pPr>
    <w:rPr>
      <w:rFonts w:ascii="Times New Roman" w:eastAsia="宋体"/>
    </w:rPr>
  </w:style>
  <w:style w:type="table" w:styleId="45">
    <w:name w:val="Table Grid"/>
    <w:basedOn w:val="4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7">
    <w:name w:val=" Char Char7 Char Char"/>
    <w:basedOn w:val="1"/>
    <w:link w:val="46"/>
    <w:qFormat/>
    <w:uiPriority w:val="0"/>
    <w:pPr>
      <w:widowControl/>
      <w:jc w:val="left"/>
    </w:pPr>
    <w:rPr>
      <w:rFonts w:ascii="宋体" w:hAnsi="宋体" w:cs="宋体"/>
      <w:kern w:val="0"/>
      <w:sz w:val="24"/>
    </w:rPr>
  </w:style>
  <w:style w:type="character" w:styleId="48">
    <w:name w:val="Strong"/>
    <w:qFormat/>
    <w:uiPriority w:val="0"/>
    <w:rPr>
      <w:b/>
      <w:bCs/>
    </w:rPr>
  </w:style>
  <w:style w:type="character" w:styleId="49">
    <w:name w:val="page number"/>
    <w:qFormat/>
    <w:uiPriority w:val="0"/>
  </w:style>
  <w:style w:type="character" w:styleId="50">
    <w:name w:val="FollowedHyperlink"/>
    <w:qFormat/>
    <w:uiPriority w:val="99"/>
    <w:rPr>
      <w:color w:val="800080"/>
      <w:u w:val="single"/>
    </w:rPr>
  </w:style>
  <w:style w:type="character" w:styleId="51">
    <w:name w:val="Emphasis"/>
    <w:qFormat/>
    <w:uiPriority w:val="20"/>
    <w:rPr>
      <w:i/>
      <w:iCs/>
    </w:rPr>
  </w:style>
  <w:style w:type="character" w:styleId="52">
    <w:name w:val="Hyperlink"/>
    <w:qFormat/>
    <w:uiPriority w:val="99"/>
    <w:rPr>
      <w:color w:val="0000FF"/>
      <w:sz w:val="24"/>
      <w:szCs w:val="24"/>
      <w:u w:val="single"/>
    </w:rPr>
  </w:style>
  <w:style w:type="character" w:styleId="53">
    <w:name w:val="annotation reference"/>
    <w:qFormat/>
    <w:uiPriority w:val="0"/>
    <w:rPr>
      <w:sz w:val="21"/>
      <w:szCs w:val="21"/>
    </w:rPr>
  </w:style>
  <w:style w:type="paragraph" w:customStyle="1" w:styleId="54">
    <w:name w:val="Default"/>
    <w:basedOn w:val="55"/>
    <w:qFormat/>
    <w:uiPriority w:val="0"/>
    <w:pPr>
      <w:widowControl w:val="0"/>
      <w:tabs>
        <w:tab w:val="left" w:pos="480"/>
      </w:tabs>
      <w:autoSpaceDE w:val="0"/>
      <w:autoSpaceDN w:val="0"/>
      <w:adjustRightInd w:val="0"/>
    </w:pPr>
    <w:rPr>
      <w:rFonts w:ascii="宋体"/>
      <w:color w:val="000000"/>
      <w:sz w:val="24"/>
      <w:szCs w:val="24"/>
      <w:lang w:val="en-US" w:eastAsia="zh-CN" w:bidi="ar-SA"/>
    </w:rPr>
  </w:style>
  <w:style w:type="paragraph" w:customStyle="1" w:styleId="55">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character" w:customStyle="1" w:styleId="56">
    <w:name w:val="正文文本 字符"/>
    <w:link w:val="2"/>
    <w:qFormat/>
    <w:uiPriority w:val="0"/>
    <w:rPr>
      <w:rFonts w:eastAsia="宋体"/>
      <w:kern w:val="2"/>
      <w:sz w:val="21"/>
      <w:szCs w:val="24"/>
      <w:lang w:val="en-US" w:eastAsia="zh-CN" w:bidi="ar-SA"/>
    </w:rPr>
  </w:style>
  <w:style w:type="character" w:customStyle="1" w:styleId="57">
    <w:name w:val="标题 1 字符"/>
    <w:link w:val="3"/>
    <w:qFormat/>
    <w:uiPriority w:val="0"/>
    <w:rPr>
      <w:rFonts w:eastAsia="黑体"/>
      <w:kern w:val="44"/>
      <w:sz w:val="30"/>
      <w:szCs w:val="30"/>
    </w:rPr>
  </w:style>
  <w:style w:type="character" w:customStyle="1" w:styleId="58">
    <w:name w:val="标题 2 字符"/>
    <w:link w:val="4"/>
    <w:qFormat/>
    <w:uiPriority w:val="0"/>
    <w:rPr>
      <w:rFonts w:ascii="Times New Roman" w:hAnsi="Times New Roman" w:eastAsia="宋体"/>
      <w:b/>
      <w:bCs/>
      <w:kern w:val="2"/>
      <w:sz w:val="21"/>
      <w:szCs w:val="21"/>
      <w:lang w:val="en-US" w:eastAsia="zh-CN" w:bidi="ar-SA"/>
    </w:rPr>
  </w:style>
  <w:style w:type="character" w:customStyle="1" w:styleId="59">
    <w:name w:val="标题 3 字符"/>
    <w:link w:val="5"/>
    <w:qFormat/>
    <w:uiPriority w:val="0"/>
    <w:rPr>
      <w:rFonts w:eastAsia="宋体"/>
      <w:b/>
      <w:bCs/>
      <w:kern w:val="2"/>
      <w:sz w:val="32"/>
      <w:szCs w:val="32"/>
      <w:lang w:val="en-US" w:eastAsia="zh-CN" w:bidi="ar-SA"/>
    </w:rPr>
  </w:style>
  <w:style w:type="character" w:customStyle="1" w:styleId="60">
    <w:name w:val="标题 4 Char"/>
    <w:link w:val="6"/>
    <w:qFormat/>
    <w:uiPriority w:val="0"/>
    <w:rPr>
      <w:rFonts w:ascii="黑体" w:eastAsia="黑体"/>
      <w:b/>
      <w:sz w:val="28"/>
    </w:rPr>
  </w:style>
  <w:style w:type="character" w:customStyle="1" w:styleId="61">
    <w:name w:val="标题 5 Char"/>
    <w:link w:val="7"/>
    <w:qFormat/>
    <w:uiPriority w:val="0"/>
    <w:rPr>
      <w:rFonts w:ascii="宋体" w:cs="宋体"/>
      <w:b/>
      <w:bCs/>
      <w:kern w:val="2"/>
      <w:sz w:val="28"/>
      <w:szCs w:val="28"/>
      <w:lang w:val="zh-CN"/>
    </w:rPr>
  </w:style>
  <w:style w:type="character" w:customStyle="1" w:styleId="62">
    <w:name w:val="标题 6 Char"/>
    <w:link w:val="8"/>
    <w:qFormat/>
    <w:uiPriority w:val="0"/>
    <w:rPr>
      <w:rFonts w:ascii="Arial" w:hAnsi="Arial" w:eastAsia="黑体" w:cs="宋体"/>
      <w:b/>
      <w:bCs/>
      <w:kern w:val="2"/>
      <w:sz w:val="24"/>
      <w:szCs w:val="21"/>
      <w:lang w:val="zh-CN"/>
    </w:rPr>
  </w:style>
  <w:style w:type="character" w:customStyle="1" w:styleId="63">
    <w:name w:val="标题 7 Char"/>
    <w:link w:val="9"/>
    <w:qFormat/>
    <w:uiPriority w:val="0"/>
    <w:rPr>
      <w:rFonts w:ascii="宋体" w:cs="宋体"/>
      <w:b/>
      <w:bCs/>
      <w:kern w:val="2"/>
      <w:sz w:val="24"/>
      <w:szCs w:val="21"/>
      <w:lang w:val="zh-CN"/>
    </w:rPr>
  </w:style>
  <w:style w:type="character" w:customStyle="1" w:styleId="64">
    <w:name w:val="标题 8 Char"/>
    <w:link w:val="10"/>
    <w:qFormat/>
    <w:uiPriority w:val="0"/>
    <w:rPr>
      <w:rFonts w:ascii="Arial" w:hAnsi="Arial" w:eastAsia="黑体" w:cs="宋体"/>
      <w:kern w:val="2"/>
      <w:sz w:val="24"/>
      <w:szCs w:val="21"/>
      <w:lang w:val="zh-CN"/>
    </w:rPr>
  </w:style>
  <w:style w:type="character" w:customStyle="1" w:styleId="65">
    <w:name w:val="标题 9 Char"/>
    <w:link w:val="11"/>
    <w:qFormat/>
    <w:uiPriority w:val="0"/>
    <w:rPr>
      <w:rFonts w:ascii="Arial" w:hAnsi="Arial" w:eastAsia="黑体" w:cs="宋体"/>
      <w:kern w:val="2"/>
      <w:sz w:val="21"/>
      <w:szCs w:val="21"/>
      <w:lang w:val="zh-CN"/>
    </w:rPr>
  </w:style>
  <w:style w:type="character" w:customStyle="1" w:styleId="66">
    <w:name w:val="文档结构图 Char"/>
    <w:link w:val="16"/>
    <w:semiHidden/>
    <w:qFormat/>
    <w:uiPriority w:val="0"/>
    <w:rPr>
      <w:kern w:val="2"/>
      <w:sz w:val="21"/>
      <w:szCs w:val="21"/>
      <w:shd w:val="clear" w:color="auto" w:fill="000080"/>
    </w:rPr>
  </w:style>
  <w:style w:type="character" w:customStyle="1" w:styleId="67">
    <w:name w:val="批注文字 Char"/>
    <w:link w:val="17"/>
    <w:qFormat/>
    <w:uiPriority w:val="0"/>
    <w:rPr>
      <w:kern w:val="2"/>
      <w:sz w:val="21"/>
      <w:szCs w:val="21"/>
    </w:rPr>
  </w:style>
  <w:style w:type="character" w:customStyle="1" w:styleId="68">
    <w:name w:val="正文文本 3 Char"/>
    <w:link w:val="18"/>
    <w:qFormat/>
    <w:uiPriority w:val="0"/>
    <w:rPr>
      <w:rFonts w:eastAsia="仿宋_GB2312"/>
      <w:kern w:val="2"/>
      <w:sz w:val="24"/>
      <w:szCs w:val="21"/>
    </w:rPr>
  </w:style>
  <w:style w:type="character" w:customStyle="1" w:styleId="69">
    <w:name w:val="正文文本缩进 字符"/>
    <w:link w:val="19"/>
    <w:qFormat/>
    <w:uiPriority w:val="0"/>
    <w:rPr>
      <w:rFonts w:ascii="楷体_GB2312" w:eastAsia="楷体_GB2312"/>
      <w:kern w:val="2"/>
      <w:sz w:val="21"/>
      <w:szCs w:val="24"/>
      <w:lang w:val="en-US" w:eastAsia="zh-CN" w:bidi="ar-SA"/>
    </w:rPr>
  </w:style>
  <w:style w:type="character" w:customStyle="1" w:styleId="70">
    <w:name w:val="纯文本 Char"/>
    <w:link w:val="22"/>
    <w:qFormat/>
    <w:uiPriority w:val="0"/>
    <w:rPr>
      <w:rFonts w:ascii="宋体" w:hAnsi="Courier New"/>
      <w:sz w:val="21"/>
    </w:rPr>
  </w:style>
  <w:style w:type="character" w:customStyle="1" w:styleId="71">
    <w:name w:val="日期 Char"/>
    <w:link w:val="24"/>
    <w:qFormat/>
    <w:uiPriority w:val="0"/>
    <w:rPr>
      <w:kern w:val="2"/>
      <w:sz w:val="21"/>
      <w:szCs w:val="21"/>
    </w:rPr>
  </w:style>
  <w:style w:type="character" w:customStyle="1" w:styleId="72">
    <w:name w:val="正文文本缩进 2 Char"/>
    <w:link w:val="25"/>
    <w:qFormat/>
    <w:uiPriority w:val="0"/>
    <w:rPr>
      <w:rFonts w:ascii="楷体_GB2312" w:eastAsia="楷体_GB2312"/>
      <w:kern w:val="2"/>
      <w:sz w:val="21"/>
      <w:szCs w:val="21"/>
    </w:rPr>
  </w:style>
  <w:style w:type="character" w:customStyle="1" w:styleId="73">
    <w:name w:val="批注框文本 字符"/>
    <w:link w:val="26"/>
    <w:qFormat/>
    <w:uiPriority w:val="0"/>
    <w:rPr>
      <w:rFonts w:eastAsia="宋体"/>
      <w:kern w:val="2"/>
      <w:sz w:val="18"/>
      <w:szCs w:val="18"/>
      <w:lang w:val="en-US" w:eastAsia="zh-CN" w:bidi="ar-SA"/>
    </w:rPr>
  </w:style>
  <w:style w:type="character" w:customStyle="1" w:styleId="74">
    <w:name w:val="页脚 Char"/>
    <w:link w:val="27"/>
    <w:qFormat/>
    <w:uiPriority w:val="0"/>
    <w:rPr>
      <w:kern w:val="2"/>
      <w:sz w:val="18"/>
      <w:szCs w:val="18"/>
    </w:rPr>
  </w:style>
  <w:style w:type="character" w:customStyle="1" w:styleId="75">
    <w:name w:val="页眉 Char"/>
    <w:link w:val="28"/>
    <w:qFormat/>
    <w:uiPriority w:val="0"/>
    <w:rPr>
      <w:kern w:val="2"/>
      <w:sz w:val="18"/>
      <w:szCs w:val="18"/>
    </w:rPr>
  </w:style>
  <w:style w:type="character" w:customStyle="1" w:styleId="76">
    <w:name w:val="副标题 Char"/>
    <w:link w:val="32"/>
    <w:qFormat/>
    <w:uiPriority w:val="0"/>
    <w:rPr>
      <w:rFonts w:eastAsia="黑体"/>
      <w:bCs/>
      <w:kern w:val="28"/>
      <w:sz w:val="21"/>
      <w:szCs w:val="32"/>
    </w:rPr>
  </w:style>
  <w:style w:type="character" w:customStyle="1" w:styleId="77">
    <w:name w:val="正文文本缩进 3 字符"/>
    <w:link w:val="35"/>
    <w:qFormat/>
    <w:uiPriority w:val="0"/>
    <w:rPr>
      <w:rFonts w:eastAsia="仿宋_GB2312"/>
      <w:color w:val="FF0000"/>
      <w:kern w:val="2"/>
      <w:sz w:val="28"/>
      <w:lang w:val="en-US" w:eastAsia="zh-CN" w:bidi="ar-SA"/>
    </w:rPr>
  </w:style>
  <w:style w:type="character" w:customStyle="1" w:styleId="78">
    <w:name w:val="正文文本 2 Char"/>
    <w:link w:val="37"/>
    <w:qFormat/>
    <w:uiPriority w:val="0"/>
    <w:rPr>
      <w:rFonts w:eastAsia="仿宋_GB2312"/>
      <w:kern w:val="2"/>
      <w:sz w:val="28"/>
      <w:szCs w:val="21"/>
    </w:rPr>
  </w:style>
  <w:style w:type="character" w:customStyle="1" w:styleId="79">
    <w:name w:val="HTML 预设格式 字符"/>
    <w:link w:val="39"/>
    <w:qFormat/>
    <w:uiPriority w:val="0"/>
    <w:rPr>
      <w:rFonts w:ascii="Arial" w:hAnsi="Arial" w:eastAsia="宋体" w:cs="Arial"/>
      <w:sz w:val="24"/>
      <w:szCs w:val="24"/>
      <w:lang w:val="en-US" w:eastAsia="zh-CN" w:bidi="ar-SA"/>
    </w:rPr>
  </w:style>
  <w:style w:type="character" w:customStyle="1" w:styleId="80">
    <w:name w:val="普通(网站) 字符"/>
    <w:link w:val="40"/>
    <w:qFormat/>
    <w:uiPriority w:val="0"/>
    <w:rPr>
      <w:rFonts w:ascii="宋体" w:hAnsi="宋体" w:cs="宋体"/>
      <w:sz w:val="24"/>
      <w:szCs w:val="21"/>
    </w:rPr>
  </w:style>
  <w:style w:type="character" w:customStyle="1" w:styleId="81">
    <w:name w:val="批注主题 字符"/>
    <w:link w:val="41"/>
    <w:qFormat/>
    <w:uiPriority w:val="0"/>
    <w:rPr>
      <w:rFonts w:eastAsia="宋体"/>
      <w:b/>
      <w:bCs/>
      <w:kern w:val="2"/>
      <w:sz w:val="21"/>
      <w:szCs w:val="24"/>
      <w:lang w:val="en-US" w:eastAsia="zh-CN" w:bidi="ar-SA"/>
    </w:rPr>
  </w:style>
  <w:style w:type="character" w:customStyle="1" w:styleId="82">
    <w:name w:val="正文首行缩进 Char"/>
    <w:link w:val="42"/>
    <w:qFormat/>
    <w:uiPriority w:val="99"/>
    <w:rPr>
      <w:kern w:val="2"/>
      <w:sz w:val="21"/>
      <w:szCs w:val="21"/>
    </w:rPr>
  </w:style>
  <w:style w:type="character" w:customStyle="1" w:styleId="83">
    <w:name w:val="正文文本首行缩进 2 字符"/>
    <w:link w:val="43"/>
    <w:qFormat/>
    <w:uiPriority w:val="0"/>
    <w:rPr>
      <w:lang w:val="en-US" w:eastAsia="zh-CN" w:bidi="ar-SA"/>
    </w:rPr>
  </w:style>
  <w:style w:type="paragraph" w:customStyle="1" w:styleId="84">
    <w:name w:val="0正文"/>
    <w:basedOn w:val="40"/>
    <w:qFormat/>
    <w:uiPriority w:val="0"/>
    <w:pPr>
      <w:spacing w:before="0" w:beforeAutospacing="0" w:after="0" w:afterAutospacing="0" w:line="360" w:lineRule="auto"/>
      <w:ind w:firstLine="482"/>
      <w:jc w:val="both"/>
    </w:pPr>
    <w:rPr>
      <w:rFonts w:ascii="Times New Roman" w:hAnsi="Times New Roman" w:cs="Times New Roman"/>
      <w:kern w:val="2"/>
    </w:rPr>
  </w:style>
  <w:style w:type="paragraph" w:customStyle="1" w:styleId="85">
    <w:name w:val="纯文本1"/>
    <w:basedOn w:val="1"/>
    <w:qFormat/>
    <w:uiPriority w:val="0"/>
    <w:pPr>
      <w:tabs>
        <w:tab w:val="left" w:pos="480"/>
      </w:tabs>
      <w:adjustRightInd w:val="0"/>
    </w:pPr>
    <w:rPr>
      <w:rFonts w:ascii="宋体" w:hAnsi="Courier New"/>
    </w:rPr>
  </w:style>
  <w:style w:type="paragraph" w:customStyle="1" w:styleId="86">
    <w:name w:val="默认段落字体 Para Char Char Char1 Char Char Char Char Char Char Char Char Char Char"/>
    <w:basedOn w:val="1"/>
    <w:qFormat/>
    <w:uiPriority w:val="0"/>
    <w:rPr>
      <w:sz w:val="24"/>
    </w:rPr>
  </w:style>
  <w:style w:type="character" w:customStyle="1" w:styleId="87">
    <w:name w:val="样式 宋体 小四 居中 行距: 最小值 0 磅"/>
    <w:qFormat/>
    <w:uiPriority w:val="0"/>
    <w:rPr>
      <w:rFonts w:ascii="宋体" w:hAnsi="宋体" w:eastAsia="Times New Roman"/>
      <w:sz w:val="24"/>
    </w:rPr>
  </w:style>
  <w:style w:type="character" w:customStyle="1" w:styleId="88">
    <w:name w:val=" Char"/>
    <w:qFormat/>
    <w:uiPriority w:val="0"/>
    <w:rPr>
      <w:rFonts w:eastAsia="宋体"/>
      <w:b/>
      <w:bCs/>
      <w:kern w:val="2"/>
      <w:sz w:val="32"/>
      <w:szCs w:val="32"/>
      <w:lang w:val="en-US" w:eastAsia="zh-CN" w:bidi="ar-SA"/>
    </w:rPr>
  </w:style>
  <w:style w:type="character" w:customStyle="1" w:styleId="89">
    <w:name w:val="表图头 Char"/>
    <w:link w:val="90"/>
    <w:qFormat/>
    <w:uiPriority w:val="0"/>
    <w:rPr>
      <w:rFonts w:eastAsia="华文中宋"/>
      <w:b/>
      <w:kern w:val="2"/>
      <w:sz w:val="24"/>
      <w:szCs w:val="24"/>
      <w:lang w:val="en-US" w:eastAsia="zh-CN" w:bidi="ar-SA"/>
    </w:rPr>
  </w:style>
  <w:style w:type="paragraph" w:customStyle="1" w:styleId="90">
    <w:name w:val="表图头"/>
    <w:basedOn w:val="1"/>
    <w:link w:val="89"/>
    <w:qFormat/>
    <w:uiPriority w:val="0"/>
    <w:pPr>
      <w:spacing w:line="360" w:lineRule="auto"/>
      <w:ind w:firstLine="480" w:firstLineChars="200"/>
      <w:jc w:val="center"/>
    </w:pPr>
    <w:rPr>
      <w:rFonts w:eastAsia="华文中宋"/>
      <w:b/>
      <w:sz w:val="24"/>
    </w:rPr>
  </w:style>
  <w:style w:type="character" w:customStyle="1" w:styleId="91">
    <w:name w:val="style101"/>
    <w:qFormat/>
    <w:uiPriority w:val="0"/>
    <w:rPr>
      <w:sz w:val="27"/>
      <w:szCs w:val="27"/>
    </w:rPr>
  </w:style>
  <w:style w:type="character" w:customStyle="1" w:styleId="92">
    <w:name w:val="font21"/>
    <w:qFormat/>
    <w:uiPriority w:val="0"/>
    <w:rPr>
      <w:rFonts w:hint="default" w:ascii="Times New Roman" w:hAnsi="Times New Roman" w:cs="Times New Roman"/>
      <w:color w:val="000000"/>
      <w:sz w:val="21"/>
      <w:szCs w:val="21"/>
      <w:u w:val="none"/>
    </w:rPr>
  </w:style>
  <w:style w:type="character" w:customStyle="1" w:styleId="93">
    <w:name w:val="正文文字缩进 Char"/>
    <w:qFormat/>
    <w:uiPriority w:val="0"/>
    <w:rPr>
      <w:kern w:val="2"/>
      <w:sz w:val="21"/>
      <w:szCs w:val="24"/>
    </w:rPr>
  </w:style>
  <w:style w:type="character" w:customStyle="1" w:styleId="94">
    <w:name w:val="text_new"/>
    <w:qFormat/>
    <w:uiPriority w:val="0"/>
  </w:style>
  <w:style w:type="character" w:customStyle="1" w:styleId="95">
    <w:name w:val="apple-style-span"/>
    <w:basedOn w:val="46"/>
    <w:qFormat/>
    <w:uiPriority w:val="0"/>
  </w:style>
  <w:style w:type="character" w:customStyle="1" w:styleId="96">
    <w:name w:val="fontstyle01"/>
    <w:qFormat/>
    <w:uiPriority w:val="0"/>
    <w:rPr>
      <w:rFonts w:hint="default" w:ascii="TimesNewRomanPSMT" w:hAnsi="TimesNewRomanPSMT"/>
      <w:color w:val="000000"/>
      <w:sz w:val="24"/>
      <w:szCs w:val="24"/>
    </w:rPr>
  </w:style>
  <w:style w:type="character" w:customStyle="1" w:styleId="97">
    <w:name w:val="font11"/>
    <w:qFormat/>
    <w:uiPriority w:val="0"/>
    <w:rPr>
      <w:rFonts w:hint="eastAsia" w:ascii="宋体" w:hAnsi="宋体" w:eastAsia="宋体" w:cs="宋体"/>
      <w:color w:val="000000"/>
      <w:sz w:val="21"/>
      <w:szCs w:val="21"/>
      <w:u w:val="none"/>
    </w:rPr>
  </w:style>
  <w:style w:type="character" w:customStyle="1" w:styleId="98">
    <w:name w:val="apple-converted-space"/>
    <w:qFormat/>
    <w:uiPriority w:val="0"/>
  </w:style>
  <w:style w:type="character" w:customStyle="1" w:styleId="99">
    <w:name w:val="纯文本1 Char Char"/>
    <w:qFormat/>
    <w:uiPriority w:val="0"/>
    <w:rPr>
      <w:rFonts w:ascii="宋体" w:hAnsi="Courier New" w:eastAsia="仿宋_GB2312"/>
      <w:kern w:val="2"/>
      <w:sz w:val="21"/>
      <w:lang w:val="en-US" w:eastAsia="zh-CN" w:bidi="ar-SA"/>
    </w:rPr>
  </w:style>
  <w:style w:type="character" w:customStyle="1" w:styleId="100">
    <w:name w:val="表头4 Char"/>
    <w:link w:val="101"/>
    <w:qFormat/>
    <w:uiPriority w:val="0"/>
    <w:rPr>
      <w:rFonts w:eastAsia="宋体"/>
      <w:b/>
      <w:kern w:val="2"/>
      <w:sz w:val="28"/>
      <w:szCs w:val="24"/>
      <w:lang w:val="en-US" w:eastAsia="zh-CN" w:bidi="ar-SA"/>
    </w:rPr>
  </w:style>
  <w:style w:type="paragraph" w:customStyle="1" w:styleId="101">
    <w:name w:val="表头4"/>
    <w:basedOn w:val="102"/>
    <w:link w:val="100"/>
    <w:qFormat/>
    <w:uiPriority w:val="0"/>
    <w:pPr>
      <w:keepNext w:val="0"/>
      <w:keepLines w:val="0"/>
      <w:snapToGrid w:val="0"/>
      <w:spacing w:before="156" w:beforeLines="50" w:after="0" w:line="520" w:lineRule="atLeast"/>
      <w:jc w:val="left"/>
      <w:outlineLvl w:val="9"/>
    </w:pPr>
    <w:rPr>
      <w:bCs/>
      <w:kern w:val="2"/>
      <w:sz w:val="28"/>
      <w:szCs w:val="24"/>
    </w:rPr>
  </w:style>
  <w:style w:type="paragraph" w:customStyle="1" w:styleId="102">
    <w:name w:val="样式1"/>
    <w:basedOn w:val="3"/>
    <w:qFormat/>
    <w:uiPriority w:val="0"/>
    <w:pPr>
      <w:spacing w:line="300" w:lineRule="exact"/>
    </w:pPr>
    <w:rPr>
      <w:sz w:val="36"/>
      <w:szCs w:val="36"/>
    </w:rPr>
  </w:style>
  <w:style w:type="character" w:customStyle="1" w:styleId="103">
    <w:name w:val="font31"/>
    <w:basedOn w:val="46"/>
    <w:qFormat/>
    <w:uiPriority w:val="0"/>
    <w:rPr>
      <w:rFonts w:hint="default" w:ascii="Times New Roman" w:hAnsi="Times New Roman" w:cs="Times New Roman"/>
      <w:color w:val="FF0000"/>
      <w:sz w:val="21"/>
      <w:szCs w:val="21"/>
      <w:u w:val="none"/>
    </w:rPr>
  </w:style>
  <w:style w:type="character" w:customStyle="1" w:styleId="104">
    <w:name w:val=" Char Char2"/>
    <w:qFormat/>
    <w:uiPriority w:val="0"/>
    <w:rPr>
      <w:rFonts w:ascii="Arial" w:hAnsi="Arial" w:eastAsia="宋体" w:cs="Arial"/>
      <w:sz w:val="24"/>
      <w:szCs w:val="24"/>
      <w:lang w:val="en-US" w:eastAsia="zh-CN" w:bidi="ar-SA"/>
    </w:rPr>
  </w:style>
  <w:style w:type="character" w:customStyle="1" w:styleId="105">
    <w:name w:val="表格小四 Char"/>
    <w:link w:val="106"/>
    <w:qFormat/>
    <w:uiPriority w:val="0"/>
    <w:rPr>
      <w:rFonts w:ascii="宋体" w:hAnsi="宋体" w:eastAsia="宋体"/>
      <w:kern w:val="2"/>
      <w:sz w:val="24"/>
      <w:szCs w:val="24"/>
      <w:lang w:val="en-US" w:eastAsia="zh-CN" w:bidi="ar-SA"/>
    </w:rPr>
  </w:style>
  <w:style w:type="paragraph" w:customStyle="1" w:styleId="106">
    <w:name w:val="表格小四"/>
    <w:basedOn w:val="1"/>
    <w:link w:val="105"/>
    <w:qFormat/>
    <w:uiPriority w:val="0"/>
    <w:pPr>
      <w:adjustRightInd w:val="0"/>
      <w:snapToGrid w:val="0"/>
      <w:spacing w:line="480" w:lineRule="exact"/>
    </w:pPr>
    <w:rPr>
      <w:rFonts w:ascii="宋体" w:hAnsi="宋体"/>
      <w:sz w:val="24"/>
    </w:rPr>
  </w:style>
  <w:style w:type="character" w:customStyle="1" w:styleId="107">
    <w:name w:val="环评正文 Char1"/>
    <w:link w:val="108"/>
    <w:qFormat/>
    <w:uiPriority w:val="0"/>
    <w:rPr>
      <w:bCs/>
      <w:kern w:val="2"/>
      <w:sz w:val="24"/>
      <w:szCs w:val="24"/>
      <w:lang w:val="en-US" w:eastAsia="zh-CN" w:bidi="ar-SA"/>
    </w:rPr>
  </w:style>
  <w:style w:type="paragraph" w:customStyle="1" w:styleId="108">
    <w:name w:val="环评正文"/>
    <w:link w:val="107"/>
    <w:qFormat/>
    <w:uiPriority w:val="0"/>
    <w:pPr>
      <w:spacing w:line="440" w:lineRule="exact"/>
      <w:ind w:firstLine="200" w:firstLineChars="200"/>
    </w:pPr>
    <w:rPr>
      <w:rFonts w:ascii="Times New Roman" w:hAnsi="Times New Roman" w:eastAsia="宋体" w:cs="Times New Roman"/>
      <w:bCs/>
      <w:kern w:val="2"/>
      <w:sz w:val="24"/>
      <w:szCs w:val="24"/>
      <w:lang w:val="en-US" w:eastAsia="zh-CN" w:bidi="ar-SA"/>
    </w:rPr>
  </w:style>
  <w:style w:type="character" w:customStyle="1" w:styleId="109">
    <w:name w:val="表蕊 Char1"/>
    <w:link w:val="110"/>
    <w:qFormat/>
    <w:uiPriority w:val="0"/>
    <w:rPr>
      <w:rFonts w:eastAsia="宋体"/>
      <w:sz w:val="21"/>
      <w:lang w:val="en-US" w:eastAsia="zh-CN" w:bidi="ar-SA"/>
    </w:rPr>
  </w:style>
  <w:style w:type="paragraph" w:customStyle="1" w:styleId="110">
    <w:name w:val="表蕊"/>
    <w:basedOn w:val="1"/>
    <w:link w:val="109"/>
    <w:qFormat/>
    <w:uiPriority w:val="0"/>
    <w:pPr>
      <w:adjustRightInd w:val="0"/>
      <w:spacing w:line="320" w:lineRule="atLeast"/>
      <w:textAlignment w:val="baseline"/>
    </w:pPr>
    <w:rPr>
      <w:kern w:val="0"/>
      <w:szCs w:val="20"/>
    </w:rPr>
  </w:style>
  <w:style w:type="character" w:customStyle="1" w:styleId="111">
    <w:name w:val="font01"/>
    <w:basedOn w:val="46"/>
    <w:qFormat/>
    <w:uiPriority w:val="0"/>
    <w:rPr>
      <w:rFonts w:hint="eastAsia" w:ascii="宋体" w:hAnsi="宋体" w:eastAsia="宋体" w:cs="宋体"/>
      <w:color w:val="FF0000"/>
      <w:sz w:val="21"/>
      <w:szCs w:val="21"/>
      <w:u w:val="none"/>
    </w:rPr>
  </w:style>
  <w:style w:type="character" w:customStyle="1" w:styleId="112">
    <w:name w:val="报告 Char Char"/>
    <w:link w:val="113"/>
    <w:qFormat/>
    <w:uiPriority w:val="0"/>
    <w:rPr>
      <w:rFonts w:eastAsia="宋体"/>
      <w:kern w:val="2"/>
      <w:sz w:val="24"/>
      <w:szCs w:val="24"/>
      <w:lang w:val="en-US" w:eastAsia="zh-CN" w:bidi="ar-SA"/>
    </w:rPr>
  </w:style>
  <w:style w:type="paragraph" w:customStyle="1" w:styleId="113">
    <w:name w:val="报告 Char"/>
    <w:basedOn w:val="1"/>
    <w:link w:val="112"/>
    <w:qFormat/>
    <w:uiPriority w:val="0"/>
    <w:pPr>
      <w:adjustRightInd w:val="0"/>
      <w:spacing w:line="360" w:lineRule="auto"/>
      <w:ind w:firstLine="505"/>
      <w:textAlignment w:val="baseline"/>
    </w:pPr>
    <w:rPr>
      <w:sz w:val="24"/>
    </w:rPr>
  </w:style>
  <w:style w:type="character" w:customStyle="1" w:styleId="114">
    <w:name w:val="标题 3 Char1"/>
    <w:qFormat/>
    <w:uiPriority w:val="0"/>
    <w:rPr>
      <w:rFonts w:eastAsia="宋体"/>
      <w:b/>
      <w:bCs/>
      <w:kern w:val="2"/>
      <w:sz w:val="32"/>
      <w:szCs w:val="32"/>
      <w:lang w:val="en-US" w:eastAsia="zh-CN" w:bidi="ar-SA"/>
    </w:rPr>
  </w:style>
  <w:style w:type="character" w:customStyle="1" w:styleId="115">
    <w:name w:val="样式 正文缩进 + 首行缩进:  2 字符 Char"/>
    <w:link w:val="116"/>
    <w:qFormat/>
    <w:uiPriority w:val="0"/>
    <w:rPr>
      <w:rFonts w:eastAsia="宋体" w:cs="宋体"/>
      <w:kern w:val="2"/>
      <w:sz w:val="28"/>
      <w:lang w:val="en-US" w:eastAsia="zh-CN" w:bidi="ar-SA"/>
    </w:rPr>
  </w:style>
  <w:style w:type="paragraph" w:customStyle="1" w:styleId="116">
    <w:name w:val="样式 正文缩进 + 首行缩进:  2 字符"/>
    <w:basedOn w:val="14"/>
    <w:link w:val="115"/>
    <w:qFormat/>
    <w:uiPriority w:val="0"/>
    <w:pPr>
      <w:snapToGrid w:val="0"/>
      <w:spacing w:line="520" w:lineRule="atLeast"/>
      <w:ind w:firstLine="200"/>
    </w:pPr>
    <w:rPr>
      <w:rFonts w:cs="宋体"/>
      <w:sz w:val="28"/>
      <w:szCs w:val="20"/>
    </w:rPr>
  </w:style>
  <w:style w:type="character" w:customStyle="1" w:styleId="117">
    <w:name w:val="正文1"/>
    <w:qFormat/>
    <w:uiPriority w:val="0"/>
    <w:rPr>
      <w:rFonts w:hint="eastAsia" w:ascii="宋体" w:hAnsi="宋体" w:eastAsia="宋体"/>
      <w:sz w:val="22"/>
      <w:szCs w:val="22"/>
    </w:rPr>
  </w:style>
  <w:style w:type="character" w:customStyle="1" w:styleId="118">
    <w:name w:val="表格文字 Char"/>
    <w:link w:val="119"/>
    <w:qFormat/>
    <w:uiPriority w:val="0"/>
    <w:rPr>
      <w:rFonts w:eastAsia="宋体"/>
      <w:kern w:val="2"/>
      <w:sz w:val="21"/>
      <w:szCs w:val="24"/>
      <w:lang w:val="en-US" w:eastAsia="zh-CN" w:bidi="ar-SA"/>
    </w:rPr>
  </w:style>
  <w:style w:type="paragraph" w:customStyle="1" w:styleId="119">
    <w:name w:val="表格文字"/>
    <w:basedOn w:val="1"/>
    <w:link w:val="118"/>
    <w:qFormat/>
    <w:uiPriority w:val="0"/>
  </w:style>
  <w:style w:type="character" w:customStyle="1" w:styleId="120">
    <w:name w:val="font41"/>
    <w:basedOn w:val="46"/>
    <w:qFormat/>
    <w:uiPriority w:val="0"/>
    <w:rPr>
      <w:rFonts w:hint="default" w:ascii="Times New Roman" w:hAnsi="Times New Roman" w:cs="Times New Roman"/>
      <w:color w:val="000000"/>
      <w:sz w:val="21"/>
      <w:szCs w:val="21"/>
      <w:u w:val="none"/>
    </w:rPr>
  </w:style>
  <w:style w:type="character" w:customStyle="1" w:styleId="121">
    <w:name w:val="样式 标题 3 + 小四 Char"/>
    <w:qFormat/>
    <w:uiPriority w:val="0"/>
    <w:rPr>
      <w:rFonts w:ascii="宋体" w:eastAsia="宋体" w:cs="宋体"/>
      <w:b/>
      <w:kern w:val="2"/>
      <w:sz w:val="28"/>
      <w:szCs w:val="30"/>
      <w:lang w:val="zh-CN" w:eastAsia="zh-CN" w:bidi="ar-SA"/>
    </w:rPr>
  </w:style>
  <w:style w:type="character" w:customStyle="1" w:styleId="122">
    <w:name w:val="样式 标题4 + (中文) 宋体 Char"/>
    <w:qFormat/>
    <w:uiPriority w:val="0"/>
    <w:rPr>
      <w:lang w:val="en-US" w:eastAsia="zh-CN" w:bidi="ar-SA"/>
    </w:rPr>
  </w:style>
  <w:style w:type="character" w:customStyle="1" w:styleId="123">
    <w:name w:val="正文小四 Char"/>
    <w:link w:val="124"/>
    <w:qFormat/>
    <w:uiPriority w:val="0"/>
    <w:rPr>
      <w:rFonts w:ascii="Calibri" w:hAnsi="Calibri" w:eastAsia="宋体"/>
      <w:kern w:val="2"/>
      <w:sz w:val="24"/>
      <w:szCs w:val="24"/>
      <w:lang w:bidi="ar-SA"/>
    </w:rPr>
  </w:style>
  <w:style w:type="paragraph" w:customStyle="1" w:styleId="124">
    <w:name w:val="正文小四"/>
    <w:basedOn w:val="1"/>
    <w:link w:val="123"/>
    <w:qFormat/>
    <w:uiPriority w:val="0"/>
    <w:pPr>
      <w:spacing w:line="360" w:lineRule="auto"/>
      <w:ind w:firstLine="200" w:firstLineChars="200"/>
    </w:pPr>
    <w:rPr>
      <w:sz w:val="24"/>
    </w:rPr>
  </w:style>
  <w:style w:type="character" w:customStyle="1" w:styleId="125">
    <w:name w:val="bbc1"/>
    <w:qFormat/>
    <w:uiPriority w:val="0"/>
    <w:rPr>
      <w:b/>
      <w:bCs/>
      <w:color w:val="000000"/>
      <w:sz w:val="23"/>
      <w:szCs w:val="23"/>
      <w:u w:val="none"/>
    </w:rPr>
  </w:style>
  <w:style w:type="character" w:customStyle="1" w:styleId="126">
    <w:name w:val="正文缩进1"/>
    <w:qFormat/>
    <w:uiPriority w:val="0"/>
    <w:rPr>
      <w:rFonts w:eastAsia="宋体"/>
      <w:kern w:val="2"/>
      <w:sz w:val="24"/>
      <w:lang w:val="en-US" w:eastAsia="zh-CN" w:bidi="ar-SA"/>
    </w:rPr>
  </w:style>
  <w:style w:type="character" w:customStyle="1" w:styleId="127">
    <w:name w:val="图表文字 Char"/>
    <w:link w:val="128"/>
    <w:qFormat/>
    <w:uiPriority w:val="0"/>
    <w:rPr>
      <w:rFonts w:ascii="仿宋_GB2312" w:eastAsia="仿宋_GB2312"/>
      <w:kern w:val="2"/>
      <w:sz w:val="21"/>
      <w:szCs w:val="24"/>
      <w:lang w:val="en-US" w:eastAsia="zh-CN" w:bidi="ar-SA"/>
    </w:rPr>
  </w:style>
  <w:style w:type="paragraph" w:customStyle="1" w:styleId="128">
    <w:name w:val="图表文字"/>
    <w:basedOn w:val="1"/>
    <w:link w:val="127"/>
    <w:qFormat/>
    <w:uiPriority w:val="0"/>
    <w:pPr>
      <w:jc w:val="center"/>
    </w:pPr>
    <w:rPr>
      <w:rFonts w:ascii="仿宋_GB2312" w:eastAsia="仿宋_GB2312"/>
    </w:rPr>
  </w:style>
  <w:style w:type="character" w:customStyle="1" w:styleId="129">
    <w:name w:val="正文1 Char1"/>
    <w:qFormat/>
    <w:uiPriority w:val="0"/>
    <w:rPr>
      <w:rFonts w:ascii="宋体" w:hAnsi="宋体" w:eastAsia="宋体"/>
      <w:kern w:val="2"/>
      <w:sz w:val="28"/>
      <w:szCs w:val="24"/>
      <w:lang w:val="en-US" w:eastAsia="zh-CN" w:bidi="ar-SA"/>
    </w:rPr>
  </w:style>
  <w:style w:type="character" w:customStyle="1" w:styleId="130">
    <w:name w:val="样式 报告 + Times New Roman Char"/>
    <w:link w:val="131"/>
    <w:qFormat/>
    <w:uiPriority w:val="0"/>
    <w:rPr>
      <w:rFonts w:eastAsia="宋体"/>
      <w:sz w:val="28"/>
      <w:szCs w:val="28"/>
      <w:lang w:val="en-US" w:eastAsia="zh-CN" w:bidi="ar-SA"/>
    </w:rPr>
  </w:style>
  <w:style w:type="paragraph" w:customStyle="1" w:styleId="131">
    <w:name w:val="样式 报告 + Times New Roman"/>
    <w:basedOn w:val="1"/>
    <w:link w:val="130"/>
    <w:qFormat/>
    <w:uiPriority w:val="0"/>
    <w:pPr>
      <w:adjustRightInd w:val="0"/>
      <w:spacing w:line="500" w:lineRule="exact"/>
      <w:ind w:firstLine="505"/>
      <w:textAlignment w:val="center"/>
    </w:pPr>
    <w:rPr>
      <w:kern w:val="0"/>
      <w:sz w:val="28"/>
      <w:szCs w:val="28"/>
    </w:rPr>
  </w:style>
  <w:style w:type="character" w:customStyle="1" w:styleId="132">
    <w:name w:val="表头 Char"/>
    <w:link w:val="133"/>
    <w:qFormat/>
    <w:uiPriority w:val="0"/>
    <w:rPr>
      <w:rFonts w:ascii="宋体" w:hAnsi="宋体" w:eastAsia="黑体"/>
      <w:sz w:val="21"/>
      <w:lang w:val="en-US" w:eastAsia="zh-CN" w:bidi="ar-SA"/>
    </w:rPr>
  </w:style>
  <w:style w:type="paragraph" w:customStyle="1" w:styleId="133">
    <w:name w:val="表头"/>
    <w:basedOn w:val="1"/>
    <w:link w:val="132"/>
    <w:qFormat/>
    <w:uiPriority w:val="0"/>
    <w:pPr>
      <w:adjustRightInd w:val="0"/>
      <w:snapToGrid w:val="0"/>
      <w:spacing w:line="300" w:lineRule="atLeast"/>
      <w:textAlignment w:val="baseline"/>
    </w:pPr>
    <w:rPr>
      <w:rFonts w:ascii="宋体" w:hAnsi="宋体" w:eastAsia="黑体"/>
      <w:kern w:val="0"/>
      <w:szCs w:val="20"/>
    </w:rPr>
  </w:style>
  <w:style w:type="character" w:customStyle="1" w:styleId="134">
    <w:name w:val="样式 自动设置 Char"/>
    <w:link w:val="135"/>
    <w:qFormat/>
    <w:uiPriority w:val="0"/>
    <w:rPr>
      <w:rFonts w:eastAsia="宋体" w:cs="宋体"/>
      <w:kern w:val="2"/>
      <w:sz w:val="24"/>
      <w:szCs w:val="24"/>
      <w:lang w:val="en-US" w:eastAsia="zh-CN" w:bidi="ar-SA"/>
    </w:rPr>
  </w:style>
  <w:style w:type="paragraph" w:customStyle="1" w:styleId="135">
    <w:name w:val="样式 自动设置"/>
    <w:basedOn w:val="1"/>
    <w:link w:val="134"/>
    <w:qFormat/>
    <w:uiPriority w:val="0"/>
    <w:pPr>
      <w:autoSpaceDE w:val="0"/>
      <w:autoSpaceDN w:val="0"/>
      <w:adjustRightInd w:val="0"/>
      <w:snapToGrid w:val="0"/>
      <w:spacing w:before="50" w:beforeLines="50" w:line="288" w:lineRule="auto"/>
      <w:ind w:firstLine="200" w:firstLineChars="200"/>
    </w:pPr>
    <w:rPr>
      <w:rFonts w:cs="宋体"/>
      <w:sz w:val="24"/>
    </w:rPr>
  </w:style>
  <w:style w:type="character" w:customStyle="1" w:styleId="136">
    <w:name w:val="表标题 Char"/>
    <w:link w:val="137"/>
    <w:qFormat/>
    <w:uiPriority w:val="0"/>
    <w:rPr>
      <w:rFonts w:hAnsi="宋体" w:eastAsia="宋体"/>
      <w:color w:val="000000"/>
      <w:kern w:val="2"/>
      <w:sz w:val="24"/>
      <w:szCs w:val="24"/>
      <w:lang w:val="en-US" w:eastAsia="zh-CN" w:bidi="ar-SA"/>
    </w:rPr>
  </w:style>
  <w:style w:type="paragraph" w:customStyle="1" w:styleId="137">
    <w:name w:val="表标题"/>
    <w:basedOn w:val="2"/>
    <w:next w:val="2"/>
    <w:link w:val="136"/>
    <w:qFormat/>
    <w:uiPriority w:val="0"/>
    <w:pPr>
      <w:spacing w:line="480" w:lineRule="exact"/>
      <w:jc w:val="center"/>
    </w:pPr>
    <w:rPr>
      <w:rFonts w:hAnsi="宋体"/>
      <w:color w:val="000000"/>
      <w:sz w:val="24"/>
    </w:rPr>
  </w:style>
  <w:style w:type="character" w:customStyle="1" w:styleId="138">
    <w:name w:val="headline-content2"/>
    <w:qFormat/>
    <w:uiPriority w:val="0"/>
  </w:style>
  <w:style w:type="character" w:customStyle="1" w:styleId="139">
    <w:name w:val="标题4 Char"/>
    <w:qFormat/>
    <w:uiPriority w:val="0"/>
    <w:rPr>
      <w:rFonts w:eastAsia="宋体"/>
      <w:b/>
      <w:bCs/>
      <w:kern w:val="2"/>
      <w:sz w:val="30"/>
      <w:szCs w:val="32"/>
      <w:lang w:val="en-US" w:eastAsia="zh-CN" w:bidi="ar-SA"/>
    </w:rPr>
  </w:style>
  <w:style w:type="character" w:customStyle="1" w:styleId="140">
    <w:name w:val="样式 小4居中 + Char"/>
    <w:link w:val="141"/>
    <w:qFormat/>
    <w:uiPriority w:val="0"/>
    <w:rPr>
      <w:rFonts w:eastAsia="宋体"/>
      <w:sz w:val="24"/>
      <w:szCs w:val="24"/>
      <w:lang w:val="en-US" w:eastAsia="zh-CN" w:bidi="ar-SA"/>
    </w:rPr>
  </w:style>
  <w:style w:type="paragraph" w:customStyle="1" w:styleId="141">
    <w:name w:val="样式 小4居中 +"/>
    <w:basedOn w:val="1"/>
    <w:link w:val="140"/>
    <w:qFormat/>
    <w:uiPriority w:val="0"/>
    <w:pPr>
      <w:snapToGrid w:val="0"/>
      <w:spacing w:before="15" w:beforeLines="15" w:after="15" w:afterLines="15" w:line="320" w:lineRule="atLeast"/>
      <w:jc w:val="center"/>
    </w:pPr>
    <w:rPr>
      <w:kern w:val="0"/>
      <w:sz w:val="24"/>
    </w:rPr>
  </w:style>
  <w:style w:type="character" w:customStyle="1" w:styleId="142">
    <w:name w:val="title"/>
    <w:qFormat/>
    <w:uiPriority w:val="0"/>
  </w:style>
  <w:style w:type="paragraph" w:customStyle="1" w:styleId="143">
    <w:name w:val="默认段落字体 Para Char Char Char Char"/>
    <w:basedOn w:val="1"/>
    <w:qFormat/>
    <w:uiPriority w:val="0"/>
    <w:rPr>
      <w:sz w:val="24"/>
    </w:rPr>
  </w:style>
  <w:style w:type="paragraph" w:customStyle="1" w:styleId="144">
    <w:name w:val="Char Char Char Char Char Char Char Char Char Char"/>
    <w:basedOn w:val="1"/>
    <w:qFormat/>
    <w:uiPriority w:val="0"/>
    <w:rPr>
      <w:sz w:val="24"/>
    </w:rPr>
  </w:style>
  <w:style w:type="paragraph" w:customStyle="1" w:styleId="145">
    <w:name w:val="样式 标题 1 + 小二"/>
    <w:basedOn w:val="3"/>
    <w:qFormat/>
    <w:uiPriority w:val="0"/>
    <w:pPr>
      <w:spacing w:line="500" w:lineRule="exact"/>
    </w:pPr>
    <w:rPr>
      <w:sz w:val="36"/>
      <w:szCs w:val="36"/>
    </w:rPr>
  </w:style>
  <w:style w:type="paragraph" w:customStyle="1" w:styleId="146">
    <w:name w:val="样式 样式 样式 列表 + 左侧:  0 厘米 悬挂缩进: 5.85 字符 + 行距: 固定值 24 磅 + 首行缩进:  0...."/>
    <w:basedOn w:val="1"/>
    <w:qFormat/>
    <w:uiPriority w:val="0"/>
    <w:pPr>
      <w:framePr w:hSpace="180" w:wrap="around" w:vAnchor="text" w:hAnchor="margin" w:xAlign="center" w:y="202"/>
      <w:autoSpaceDE w:val="0"/>
      <w:autoSpaceDN w:val="0"/>
      <w:adjustRightInd w:val="0"/>
      <w:jc w:val="center"/>
    </w:pPr>
    <w:rPr>
      <w:rFonts w:ascii="宋体" w:cs="宋体"/>
      <w:szCs w:val="21"/>
      <w:lang w:val="zh-CN"/>
    </w:rPr>
  </w:style>
  <w:style w:type="paragraph" w:customStyle="1" w:styleId="147">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148">
    <w:name w:val="表格居中"/>
    <w:qFormat/>
    <w:uiPriority w:val="0"/>
    <w:pPr>
      <w:jc w:val="center"/>
    </w:pPr>
    <w:rPr>
      <w:rFonts w:ascii="Times New Roman" w:hAnsi="Times New Roman" w:eastAsia="宋体" w:cs="Times New Roman"/>
      <w:kern w:val="2"/>
      <w:sz w:val="24"/>
      <w:szCs w:val="24"/>
      <w:lang w:val="en-US" w:eastAsia="zh-CN" w:bidi="ar-SA"/>
    </w:rPr>
  </w:style>
  <w:style w:type="paragraph" w:customStyle="1" w:styleId="149">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Cs w:val="20"/>
    </w:rPr>
  </w:style>
  <w:style w:type="paragraph" w:customStyle="1" w:styleId="150">
    <w:name w:val="xl2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kern w:val="0"/>
      <w:szCs w:val="21"/>
    </w:rPr>
  </w:style>
  <w:style w:type="paragraph" w:customStyle="1" w:styleId="151">
    <w:name w:val="样式 样式 样式 自动设置 + 五号 段前: 0.5 行 行距: 单倍行距 + 段前: 0.5 行"/>
    <w:basedOn w:val="1"/>
    <w:qFormat/>
    <w:uiPriority w:val="0"/>
    <w:pPr>
      <w:autoSpaceDE w:val="0"/>
      <w:autoSpaceDN w:val="0"/>
      <w:adjustRightInd w:val="0"/>
      <w:snapToGrid w:val="0"/>
    </w:pPr>
    <w:rPr>
      <w:rFonts w:cs="宋体"/>
      <w:szCs w:val="20"/>
    </w:rPr>
  </w:style>
  <w:style w:type="paragraph" w:customStyle="1" w:styleId="152">
    <w:name w:val="表格"/>
    <w:basedOn w:val="1"/>
    <w:next w:val="1"/>
    <w:link w:val="153"/>
    <w:qFormat/>
    <w:uiPriority w:val="0"/>
    <w:pPr>
      <w:snapToGrid w:val="0"/>
      <w:spacing w:before="40" w:after="40"/>
      <w:jc w:val="center"/>
    </w:pPr>
    <w:rPr>
      <w:szCs w:val="20"/>
    </w:rPr>
  </w:style>
  <w:style w:type="character" w:customStyle="1" w:styleId="153">
    <w:name w:val="表格 Char"/>
    <w:link w:val="152"/>
    <w:qFormat/>
    <w:uiPriority w:val="0"/>
    <w:rPr>
      <w:kern w:val="2"/>
      <w:sz w:val="21"/>
    </w:rPr>
  </w:style>
  <w:style w:type="paragraph" w:customStyle="1" w:styleId="154">
    <w:name w:val="图文框"/>
    <w:basedOn w:val="1"/>
    <w:qFormat/>
    <w:uiPriority w:val="0"/>
    <w:pPr>
      <w:widowControl/>
      <w:spacing w:line="220" w:lineRule="atLeast"/>
    </w:pPr>
    <w:rPr>
      <w:rFonts w:ascii="宋体"/>
      <w:kern w:val="0"/>
      <w:szCs w:val="20"/>
    </w:rPr>
  </w:style>
  <w:style w:type="paragraph" w:customStyle="1" w:styleId="155">
    <w:name w:val="5"/>
    <w:basedOn w:val="1"/>
    <w:next w:val="19"/>
    <w:qFormat/>
    <w:uiPriority w:val="0"/>
    <w:pPr>
      <w:spacing w:line="360" w:lineRule="auto"/>
      <w:ind w:firstLine="560" w:firstLineChars="200"/>
    </w:pPr>
    <w:rPr>
      <w:rFonts w:ascii="宋体" w:hAnsi="宋体"/>
      <w:color w:val="000000"/>
      <w:sz w:val="28"/>
    </w:rPr>
  </w:style>
  <w:style w:type="paragraph" w:customStyle="1" w:styleId="156">
    <w:name w:val="论文正文"/>
    <w:basedOn w:val="14"/>
    <w:qFormat/>
    <w:uiPriority w:val="0"/>
    <w:pPr>
      <w:ind w:firstLine="480"/>
    </w:pPr>
    <w:rPr>
      <w:rFonts w:ascii="宋体" w:hAnsi="宋体"/>
      <w:sz w:val="28"/>
    </w:rPr>
  </w:style>
  <w:style w:type="paragraph" w:customStyle="1" w:styleId="157">
    <w:name w:val="3"/>
    <w:basedOn w:val="1"/>
    <w:qFormat/>
    <w:uiPriority w:val="0"/>
    <w:rPr>
      <w:rFonts w:eastAsia="Times New Roman"/>
      <w:kern w:val="0"/>
      <w:sz w:val="20"/>
    </w:rPr>
  </w:style>
  <w:style w:type="paragraph" w:customStyle="1" w:styleId="158">
    <w:name w:val="xl25"/>
    <w:basedOn w:val="1"/>
    <w:qFormat/>
    <w:uiPriority w:val="0"/>
    <w:pPr>
      <w:widowControl/>
      <w:pBdr>
        <w:left w:val="single" w:color="auto" w:sz="4" w:space="0"/>
        <w:right w:val="single" w:color="auto" w:sz="4" w:space="0"/>
      </w:pBdr>
      <w:spacing w:before="100" w:after="100"/>
      <w:jc w:val="center"/>
    </w:pPr>
    <w:rPr>
      <w:kern w:val="0"/>
      <w:sz w:val="24"/>
      <w:szCs w:val="20"/>
    </w:rPr>
  </w:style>
  <w:style w:type="paragraph" w:customStyle="1" w:styleId="159">
    <w:name w:val="报告"/>
    <w:basedOn w:val="1"/>
    <w:qFormat/>
    <w:uiPriority w:val="0"/>
    <w:pPr>
      <w:adjustRightInd w:val="0"/>
      <w:spacing w:line="360" w:lineRule="auto"/>
      <w:ind w:firstLine="505"/>
      <w:textAlignment w:val="center"/>
    </w:pPr>
    <w:rPr>
      <w:rFonts w:ascii="TimesNewRoman" w:hAnsi="TimesNewRoman"/>
      <w:kern w:val="0"/>
      <w:sz w:val="24"/>
      <w:szCs w:val="20"/>
    </w:rPr>
  </w:style>
  <w:style w:type="paragraph" w:customStyle="1" w:styleId="160">
    <w:name w:val="样式 样式 标题 2节 + (西文) Times New Roman (中文) 宋体 四号 段前: 0.5 行 段后: 0......"/>
    <w:basedOn w:val="1"/>
    <w:qFormat/>
    <w:uiPriority w:val="0"/>
    <w:pPr>
      <w:keepNext/>
      <w:keepLines/>
      <w:tabs>
        <w:tab w:val="left" w:pos="567"/>
        <w:tab w:val="left" w:pos="1260"/>
      </w:tabs>
      <w:adjustRightInd w:val="0"/>
      <w:snapToGrid w:val="0"/>
      <w:spacing w:before="120" w:beforeLines="50" w:after="120" w:afterLines="50" w:line="480" w:lineRule="exact"/>
      <w:ind w:left="142" w:hanging="142"/>
      <w:outlineLvl w:val="1"/>
    </w:pPr>
    <w:rPr>
      <w:rFonts w:eastAsia="黑体"/>
      <w:bCs/>
      <w:sz w:val="32"/>
      <w:szCs w:val="32"/>
    </w:rPr>
  </w:style>
  <w:style w:type="paragraph" w:customStyle="1" w:styleId="161">
    <w:name w:val="样式"/>
    <w:basedOn w:val="1"/>
    <w:qFormat/>
    <w:uiPriority w:val="0"/>
    <w:pPr>
      <w:autoSpaceDE w:val="0"/>
      <w:autoSpaceDN w:val="0"/>
      <w:adjustRightInd w:val="0"/>
      <w:spacing w:line="480" w:lineRule="exact"/>
      <w:ind w:firstLine="200" w:firstLineChars="200"/>
    </w:pPr>
    <w:rPr>
      <w:rFonts w:ascii="宋体" w:cs="宋体"/>
      <w:sz w:val="28"/>
      <w:szCs w:val="28"/>
      <w:lang w:val="zh-CN"/>
    </w:rPr>
  </w:style>
  <w:style w:type="paragraph" w:customStyle="1" w:styleId="162">
    <w:name w:val="00正文"/>
    <w:basedOn w:val="1"/>
    <w:qFormat/>
    <w:uiPriority w:val="0"/>
    <w:pPr>
      <w:spacing w:line="360" w:lineRule="auto"/>
      <w:ind w:firstLine="480" w:firstLineChars="200"/>
    </w:pPr>
    <w:rPr>
      <w:sz w:val="24"/>
    </w:rPr>
  </w:style>
  <w:style w:type="paragraph" w:customStyle="1" w:styleId="163">
    <w:name w:val="Heading #1|1"/>
    <w:basedOn w:val="1"/>
    <w:qFormat/>
    <w:uiPriority w:val="0"/>
    <w:pPr>
      <w:widowControl w:val="0"/>
      <w:shd w:val="clear" w:color="auto" w:fill="auto"/>
      <w:spacing w:after="480" w:line="565" w:lineRule="exact"/>
      <w:jc w:val="center"/>
      <w:outlineLvl w:val="0"/>
    </w:pPr>
    <w:rPr>
      <w:rFonts w:ascii="宋体" w:hAnsi="宋体" w:eastAsia="宋体" w:cs="宋体"/>
      <w:sz w:val="42"/>
      <w:szCs w:val="42"/>
      <w:u w:val="none"/>
      <w:shd w:val="clear" w:color="auto" w:fill="auto"/>
      <w:lang w:val="zh-TW" w:eastAsia="zh-TW" w:bidi="zh-TW"/>
    </w:rPr>
  </w:style>
  <w:style w:type="paragraph" w:customStyle="1" w:styleId="164">
    <w:name w:val=" Char Char1"/>
    <w:basedOn w:val="1"/>
    <w:qFormat/>
    <w:uiPriority w:val="0"/>
    <w:pPr>
      <w:snapToGrid w:val="0"/>
      <w:spacing w:line="360" w:lineRule="auto"/>
      <w:ind w:firstLine="200" w:firstLineChars="200"/>
    </w:pPr>
    <w:rPr>
      <w:rFonts w:eastAsia="仿宋_GB2312"/>
      <w:sz w:val="24"/>
    </w:rPr>
  </w:style>
  <w:style w:type="paragraph" w:customStyle="1" w:styleId="165">
    <w:name w:val=" Char Char Char Char1 Char Char Char Char"/>
    <w:basedOn w:val="1"/>
    <w:qFormat/>
    <w:uiPriority w:val="0"/>
    <w:rPr>
      <w:sz w:val="24"/>
    </w:rPr>
  </w:style>
  <w:style w:type="paragraph" w:customStyle="1" w:styleId="166">
    <w:name w:val="2"/>
    <w:basedOn w:val="1"/>
    <w:next w:val="2"/>
    <w:qFormat/>
    <w:uiPriority w:val="0"/>
    <w:pPr>
      <w:spacing w:after="120"/>
    </w:pPr>
  </w:style>
  <w:style w:type="paragraph" w:customStyle="1" w:styleId="167">
    <w:name w:val="样式 标题 2 + 行距: 固定值 24 磅"/>
    <w:basedOn w:val="4"/>
    <w:qFormat/>
    <w:uiPriority w:val="0"/>
    <w:pPr>
      <w:tabs>
        <w:tab w:val="left" w:pos="1365"/>
      </w:tabs>
      <w:autoSpaceDE w:val="0"/>
      <w:autoSpaceDN w:val="0"/>
      <w:adjustRightInd w:val="0"/>
      <w:spacing w:before="0" w:after="0" w:line="480" w:lineRule="exact"/>
      <w:ind w:firstLine="0" w:firstLineChars="0"/>
    </w:pPr>
    <w:rPr>
      <w:rFonts w:ascii="宋体" w:hAnsi="宋体" w:eastAsia="宋体" w:cs="宋体"/>
      <w:bCs w:val="0"/>
      <w:kern w:val="0"/>
      <w:szCs w:val="20"/>
      <w:lang w:val="zh-CN"/>
    </w:rPr>
  </w:style>
  <w:style w:type="paragraph" w:customStyle="1" w:styleId="168">
    <w:name w:val="Char Char Char Char Char Char Char"/>
    <w:basedOn w:val="1"/>
    <w:qFormat/>
    <w:uiPriority w:val="0"/>
    <w:rPr>
      <w:szCs w:val="21"/>
    </w:rPr>
  </w:style>
  <w:style w:type="paragraph" w:customStyle="1" w:styleId="169">
    <w:name w:val="xl27"/>
    <w:basedOn w:val="1"/>
    <w:qFormat/>
    <w:uiPriority w:val="0"/>
    <w:pPr>
      <w:widowControl/>
      <w:pBdr>
        <w:bottom w:val="single" w:color="auto" w:sz="12" w:space="0"/>
      </w:pBdr>
      <w:spacing w:before="100" w:after="100"/>
      <w:jc w:val="center"/>
    </w:pPr>
    <w:rPr>
      <w:rFonts w:ascii="宋体" w:hAnsi="宋体"/>
      <w:kern w:val="0"/>
      <w:szCs w:val="20"/>
    </w:rPr>
  </w:style>
  <w:style w:type="paragraph" w:customStyle="1" w:styleId="170">
    <w:name w:val="正文新 Char"/>
    <w:basedOn w:val="1"/>
    <w:qFormat/>
    <w:uiPriority w:val="0"/>
    <w:pPr>
      <w:spacing w:line="360" w:lineRule="auto"/>
      <w:ind w:firstLine="200" w:firstLineChars="200"/>
    </w:pPr>
    <w:rPr>
      <w:sz w:val="24"/>
      <w:szCs w:val="20"/>
    </w:rPr>
  </w:style>
  <w:style w:type="paragraph" w:customStyle="1" w:styleId="171">
    <w:name w:val=" Char Char1 Char"/>
    <w:basedOn w:val="1"/>
    <w:qFormat/>
    <w:uiPriority w:val="0"/>
    <w:rPr>
      <w:sz w:val="24"/>
    </w:rPr>
  </w:style>
  <w:style w:type="paragraph" w:customStyle="1" w:styleId="172">
    <w:name w:val=" Char Char Char Char Char Char Char"/>
    <w:basedOn w:val="1"/>
    <w:qFormat/>
    <w:uiPriority w:val="0"/>
    <w:rPr>
      <w:szCs w:val="20"/>
    </w:rPr>
  </w:style>
  <w:style w:type="paragraph" w:customStyle="1" w:styleId="173">
    <w:name w:val="Plain Text"/>
    <w:basedOn w:val="1"/>
    <w:qFormat/>
    <w:uiPriority w:val="0"/>
    <w:pPr>
      <w:adjustRightInd w:val="0"/>
      <w:textAlignment w:val="baseline"/>
    </w:pPr>
    <w:rPr>
      <w:rFonts w:ascii="宋体" w:hAnsi="Courier New"/>
      <w:szCs w:val="20"/>
    </w:rPr>
  </w:style>
  <w:style w:type="paragraph" w:customStyle="1" w:styleId="174">
    <w:name w:val="Char Char Char Char"/>
    <w:basedOn w:val="16"/>
    <w:qFormat/>
    <w:uiPriority w:val="0"/>
    <w:pPr>
      <w:widowControl/>
      <w:adjustRightInd w:val="0"/>
      <w:snapToGrid w:val="0"/>
      <w:spacing w:line="360" w:lineRule="auto"/>
      <w:jc w:val="left"/>
    </w:pPr>
    <w:rPr>
      <w:rFonts w:ascii="Tahoma" w:hAnsi="Tahoma" w:cs="宋体"/>
      <w:kern w:val="0"/>
      <w:sz w:val="24"/>
    </w:rPr>
  </w:style>
  <w:style w:type="paragraph" w:customStyle="1" w:styleId="175">
    <w:name w:val="报告表格"/>
    <w:basedOn w:val="1"/>
    <w:qFormat/>
    <w:uiPriority w:val="0"/>
    <w:pPr>
      <w:autoSpaceDE w:val="0"/>
      <w:autoSpaceDN w:val="0"/>
      <w:adjustRightInd w:val="0"/>
      <w:spacing w:line="280" w:lineRule="exact"/>
      <w:jc w:val="center"/>
      <w:textAlignment w:val="bottom"/>
    </w:pPr>
    <w:rPr>
      <w:rFonts w:ascii="宋体" w:hAnsi="宋体"/>
      <w:sz w:val="18"/>
      <w:szCs w:val="18"/>
    </w:rPr>
  </w:style>
  <w:style w:type="paragraph" w:customStyle="1" w:styleId="176">
    <w:name w:val="表格式"/>
    <w:basedOn w:val="33"/>
    <w:qFormat/>
    <w:uiPriority w:val="0"/>
    <w:pPr>
      <w:spacing w:line="400" w:lineRule="exact"/>
    </w:pPr>
    <w:rPr>
      <w:rFonts w:ascii="宋体" w:eastAsia="宋体"/>
      <w:sz w:val="21"/>
    </w:rPr>
  </w:style>
  <w:style w:type="paragraph" w:customStyle="1" w:styleId="177">
    <w:name w:val=" 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rPr>
  </w:style>
  <w:style w:type="paragraph" w:customStyle="1" w:styleId="178">
    <w:name w:val="+正文"/>
    <w:basedOn w:val="1"/>
    <w:qFormat/>
    <w:uiPriority w:val="0"/>
    <w:pPr>
      <w:spacing w:line="360" w:lineRule="auto"/>
      <w:ind w:firstLine="200" w:firstLineChars="200"/>
    </w:pPr>
    <w:rPr>
      <w:sz w:val="28"/>
      <w:szCs w:val="28"/>
    </w:rPr>
  </w:style>
  <w:style w:type="paragraph" w:customStyle="1" w:styleId="179">
    <w:name w:val=" 字元"/>
    <w:basedOn w:val="1"/>
    <w:qFormat/>
    <w:uiPriority w:val="0"/>
    <w:rPr>
      <w:sz w:val="24"/>
    </w:rPr>
  </w:style>
  <w:style w:type="paragraph" w:customStyle="1" w:styleId="180">
    <w:name w:val=" Char Char Char Char Char Char Char Char Char Char Char"/>
    <w:basedOn w:val="1"/>
    <w:qFormat/>
    <w:uiPriority w:val="0"/>
    <w:pPr>
      <w:adjustRightInd w:val="0"/>
      <w:spacing w:line="360" w:lineRule="auto"/>
    </w:pPr>
    <w:rPr>
      <w:kern w:val="0"/>
      <w:sz w:val="24"/>
      <w:szCs w:val="20"/>
    </w:rPr>
  </w:style>
  <w:style w:type="paragraph" w:customStyle="1" w:styleId="181">
    <w:name w:val="样式 样式 标题 3 + 小四 + 行距: 固定值 24 磅"/>
    <w:basedOn w:val="182"/>
    <w:qFormat/>
    <w:uiPriority w:val="0"/>
    <w:pPr>
      <w:tabs>
        <w:tab w:val="left" w:pos="1785"/>
      </w:tabs>
      <w:spacing w:line="480" w:lineRule="exact"/>
    </w:pPr>
    <w:rPr>
      <w:szCs w:val="20"/>
    </w:rPr>
  </w:style>
  <w:style w:type="paragraph" w:customStyle="1" w:styleId="182">
    <w:name w:val="样式 标题 3 + 小四"/>
    <w:basedOn w:val="5"/>
    <w:qFormat/>
    <w:uiPriority w:val="0"/>
    <w:pPr>
      <w:tabs>
        <w:tab w:val="left" w:pos="1785"/>
      </w:tabs>
      <w:autoSpaceDE w:val="0"/>
      <w:autoSpaceDN w:val="0"/>
      <w:adjustRightInd w:val="0"/>
      <w:spacing w:before="0" w:after="0" w:line="480" w:lineRule="atLeast"/>
      <w:ind w:firstLine="0" w:firstLineChars="0"/>
    </w:pPr>
    <w:rPr>
      <w:rFonts w:ascii="宋体" w:cs="宋体"/>
      <w:bCs w:val="0"/>
      <w:sz w:val="28"/>
      <w:szCs w:val="30"/>
      <w:lang w:val="zh-CN"/>
    </w:rPr>
  </w:style>
  <w:style w:type="paragraph" w:customStyle="1" w:styleId="183">
    <w:name w:val="Table Paragraph"/>
    <w:basedOn w:val="1"/>
    <w:qFormat/>
    <w:uiPriority w:val="1"/>
    <w:rPr>
      <w:szCs w:val="21"/>
    </w:rPr>
  </w:style>
  <w:style w:type="paragraph" w:customStyle="1" w:styleId="184">
    <w:name w:val="正文（首行缩进两字） Char Char Char Char Char Char"/>
    <w:basedOn w:val="1"/>
    <w:next w:val="14"/>
    <w:qFormat/>
    <w:uiPriority w:val="0"/>
    <w:pPr>
      <w:ind w:firstLine="420" w:firstLineChars="200"/>
    </w:pPr>
  </w:style>
  <w:style w:type="paragraph" w:customStyle="1" w:styleId="185">
    <w:name w:val="内部地址姓名"/>
    <w:basedOn w:val="1"/>
    <w:qFormat/>
    <w:uiPriority w:val="0"/>
    <w:pPr>
      <w:autoSpaceDE w:val="0"/>
      <w:autoSpaceDN w:val="0"/>
      <w:ind w:firstLine="200" w:firstLineChars="200"/>
    </w:pPr>
    <w:rPr>
      <w:rFonts w:ascii="宋体" w:cs="宋体"/>
      <w:szCs w:val="21"/>
      <w:lang w:val="zh-CN"/>
    </w:rPr>
  </w:style>
  <w:style w:type="paragraph" w:customStyle="1" w:styleId="186">
    <w:name w:val="报告正文"/>
    <w:basedOn w:val="1"/>
    <w:qFormat/>
    <w:uiPriority w:val="0"/>
    <w:pPr>
      <w:spacing w:line="360" w:lineRule="auto"/>
      <w:ind w:firstLine="600" w:firstLineChars="200"/>
    </w:pPr>
    <w:rPr>
      <w:rFonts w:eastAsia="楷体_GB2312"/>
      <w:bCs/>
      <w:sz w:val="30"/>
    </w:rPr>
  </w:style>
  <w:style w:type="paragraph" w:customStyle="1" w:styleId="187">
    <w:name w:val="样式 标题 3 + 行距: 固定值 24 磅"/>
    <w:basedOn w:val="5"/>
    <w:qFormat/>
    <w:uiPriority w:val="0"/>
    <w:pPr>
      <w:tabs>
        <w:tab w:val="left" w:pos="1785"/>
      </w:tabs>
      <w:autoSpaceDE w:val="0"/>
      <w:autoSpaceDN w:val="0"/>
      <w:adjustRightInd w:val="0"/>
      <w:spacing w:before="0" w:after="0" w:line="480" w:lineRule="exact"/>
      <w:ind w:firstLine="0" w:firstLineChars="0"/>
    </w:pPr>
    <w:rPr>
      <w:rFonts w:ascii="宋体" w:cs="宋体"/>
      <w:bCs w:val="0"/>
      <w:sz w:val="30"/>
      <w:szCs w:val="20"/>
      <w:lang w:val="zh-CN"/>
    </w:rPr>
  </w:style>
  <w:style w:type="paragraph" w:customStyle="1" w:styleId="188">
    <w:name w:val="默认段落字体 Para Char Char Char1 Char Char"/>
    <w:basedOn w:val="1"/>
    <w:qFormat/>
    <w:uiPriority w:val="0"/>
    <w:rPr>
      <w:sz w:val="24"/>
      <w:szCs w:val="24"/>
    </w:rPr>
  </w:style>
  <w:style w:type="paragraph" w:customStyle="1" w:styleId="189">
    <w:name w:val=" Char Char Char Char Char Char"/>
    <w:basedOn w:val="1"/>
    <w:qFormat/>
    <w:uiPriority w:val="0"/>
    <w:rPr>
      <w:sz w:val="24"/>
    </w:rPr>
  </w:style>
  <w:style w:type="paragraph" w:customStyle="1" w:styleId="190">
    <w:name w:val=" Char Char2 Char Char Char Char"/>
    <w:basedOn w:val="1"/>
    <w:qFormat/>
    <w:uiPriority w:val="0"/>
    <w:pPr>
      <w:spacing w:before="20" w:beforeLines="20" w:line="440" w:lineRule="atLeast"/>
      <w:ind w:firstLine="200" w:firstLineChars="200"/>
    </w:pPr>
    <w:rPr>
      <w:sz w:val="24"/>
    </w:rPr>
  </w:style>
  <w:style w:type="paragraph" w:customStyle="1" w:styleId="191">
    <w:name w:val="1文章"/>
    <w:basedOn w:val="1"/>
    <w:qFormat/>
    <w:uiPriority w:val="0"/>
    <w:pPr>
      <w:snapToGrid w:val="0"/>
      <w:spacing w:line="420" w:lineRule="auto"/>
      <w:ind w:firstLine="454"/>
      <w:outlineLvl w:val="4"/>
    </w:pPr>
    <w:rPr>
      <w:spacing w:val="4"/>
      <w:sz w:val="24"/>
    </w:rPr>
  </w:style>
  <w:style w:type="paragraph" w:customStyle="1" w:styleId="192">
    <w:name w:val="表格文字2"/>
    <w:basedOn w:val="1"/>
    <w:qFormat/>
    <w:uiPriority w:val="0"/>
    <w:pPr>
      <w:tabs>
        <w:tab w:val="left" w:pos="277"/>
        <w:tab w:val="left" w:pos="600"/>
        <w:tab w:val="left" w:pos="780"/>
        <w:tab w:val="left" w:pos="2517"/>
      </w:tabs>
      <w:adjustRightInd w:val="0"/>
      <w:spacing w:before="60"/>
      <w:jc w:val="center"/>
    </w:pPr>
    <w:rPr>
      <w:kern w:val="0"/>
      <w:szCs w:val="21"/>
    </w:rPr>
  </w:style>
  <w:style w:type="paragraph" w:customStyle="1" w:styleId="193">
    <w:name w:val=" Char1"/>
    <w:basedOn w:val="1"/>
    <w:qFormat/>
    <w:uiPriority w:val="0"/>
    <w:rPr>
      <w:spacing w:val="20"/>
      <w:sz w:val="28"/>
      <w:szCs w:val="21"/>
    </w:rPr>
  </w:style>
  <w:style w:type="paragraph" w:customStyle="1" w:styleId="194">
    <w:name w:val="样式 标题 4 + (西文) Times New Roman (中文) 宋体 小四"/>
    <w:basedOn w:val="6"/>
    <w:qFormat/>
    <w:uiPriority w:val="0"/>
    <w:pPr>
      <w:tabs>
        <w:tab w:val="left" w:pos="1247"/>
      </w:tabs>
      <w:adjustRightInd/>
      <w:spacing w:before="78" w:beforeLines="25" w:after="78" w:afterLines="25" w:line="360" w:lineRule="auto"/>
      <w:ind w:left="964" w:hanging="964"/>
      <w:textAlignment w:val="auto"/>
    </w:pPr>
    <w:rPr>
      <w:rFonts w:ascii="幼圆" w:eastAsia="幼圆"/>
      <w:b w:val="0"/>
      <w:color w:val="0000FF"/>
      <w:kern w:val="2"/>
      <w:sz w:val="24"/>
      <w:szCs w:val="24"/>
    </w:rPr>
  </w:style>
  <w:style w:type="paragraph" w:customStyle="1" w:styleId="195">
    <w:name w:val="WPS Plain"/>
    <w:qFormat/>
    <w:uiPriority w:val="0"/>
    <w:rPr>
      <w:rFonts w:ascii="Times New Roman" w:hAnsi="Times New Roman" w:eastAsia="宋体" w:cs="Times New Roman"/>
      <w:lang w:val="en-US" w:eastAsia="zh-CN" w:bidi="ar-SA"/>
    </w:rPr>
  </w:style>
  <w:style w:type="paragraph" w:customStyle="1" w:styleId="196">
    <w:name w:val="列出段落2"/>
    <w:basedOn w:val="1"/>
    <w:qFormat/>
    <w:uiPriority w:val="0"/>
    <w:pPr>
      <w:ind w:firstLine="420" w:firstLineChars="200"/>
    </w:pPr>
    <w:rPr>
      <w:rFonts w:ascii="Calibri" w:hAnsi="Calibri"/>
      <w:szCs w:val="22"/>
    </w:rPr>
  </w:style>
  <w:style w:type="paragraph" w:customStyle="1" w:styleId="197">
    <w:name w:val="样式 样式 宋体 小四 首行缩进:  1 厘米 段前: 3 磅 段后: 3 磅 行距: 1.5 倍行距 + 首行缩进:  2 字符"/>
    <w:basedOn w:val="1"/>
    <w:qFormat/>
    <w:uiPriority w:val="0"/>
    <w:pPr>
      <w:tabs>
        <w:tab w:val="left" w:pos="1350"/>
      </w:tabs>
      <w:spacing w:before="60" w:after="60" w:line="360" w:lineRule="auto"/>
      <w:ind w:firstLine="200" w:firstLineChars="200"/>
    </w:pPr>
    <w:rPr>
      <w:rFonts w:ascii="宋体" w:hAnsi="宋体" w:cs="宋体"/>
      <w:kern w:val="0"/>
      <w:sz w:val="28"/>
      <w:szCs w:val="20"/>
    </w:rPr>
  </w:style>
  <w:style w:type="paragraph" w:customStyle="1" w:styleId="198">
    <w:name w:val="样式 表蕊 + 首行缩进:  2 字符3"/>
    <w:basedOn w:val="110"/>
    <w:qFormat/>
    <w:uiPriority w:val="0"/>
    <w:pPr>
      <w:spacing w:line="280" w:lineRule="atLeast"/>
      <w:jc w:val="center"/>
    </w:pPr>
    <w:rPr>
      <w:rFonts w:eastAsia="仿宋_GB2312" w:cs="宋体"/>
      <w:spacing w:val="8"/>
      <w:sz w:val="30"/>
    </w:rPr>
  </w:style>
  <w:style w:type="paragraph" w:customStyle="1" w:styleId="199">
    <w:name w:val="默认段落字体 Para Char"/>
    <w:basedOn w:val="1"/>
    <w:qFormat/>
    <w:uiPriority w:val="0"/>
    <w:rPr>
      <w:sz w:val="24"/>
    </w:rPr>
  </w:style>
  <w:style w:type="paragraph" w:customStyle="1" w:styleId="200">
    <w:name w:val="_Style 3"/>
    <w:basedOn w:val="1"/>
    <w:qFormat/>
    <w:uiPriority w:val="0"/>
    <w:pPr>
      <w:spacing w:line="360" w:lineRule="auto"/>
      <w:ind w:firstLine="200" w:firstLineChars="200"/>
    </w:pPr>
    <w:rPr>
      <w:rFonts w:ascii="宋体" w:hAnsi="宋体" w:cs="宋体"/>
      <w:sz w:val="24"/>
    </w:rPr>
  </w:style>
  <w:style w:type="paragraph" w:customStyle="1" w:styleId="201">
    <w:name w:val="Body text|1"/>
    <w:basedOn w:val="1"/>
    <w:qFormat/>
    <w:uiPriority w:val="0"/>
    <w:pPr>
      <w:widowControl w:val="0"/>
      <w:shd w:val="clear" w:color="auto" w:fill="auto"/>
      <w:spacing w:line="394" w:lineRule="auto"/>
      <w:ind w:firstLine="400"/>
    </w:pPr>
    <w:rPr>
      <w:rFonts w:ascii="宋体" w:hAnsi="宋体" w:eastAsia="宋体" w:cs="宋体"/>
      <w:sz w:val="30"/>
      <w:szCs w:val="30"/>
      <w:u w:val="none"/>
      <w:shd w:val="clear" w:color="auto" w:fill="auto"/>
      <w:lang w:val="zh-TW" w:eastAsia="zh-TW" w:bidi="zh-TW"/>
    </w:rPr>
  </w:style>
  <w:style w:type="paragraph" w:customStyle="1" w:styleId="202">
    <w:name w:val="列出段落1"/>
    <w:basedOn w:val="1"/>
    <w:qFormat/>
    <w:uiPriority w:val="0"/>
    <w:pPr>
      <w:ind w:firstLine="420" w:firstLineChars="200"/>
    </w:pPr>
    <w:rPr>
      <w:rFonts w:ascii="Calibri" w:hAnsi="Calibri"/>
      <w:szCs w:val="22"/>
    </w:rPr>
  </w:style>
  <w:style w:type="paragraph" w:customStyle="1" w:styleId="203">
    <w:name w:val="样式 表蕊 + 宋体"/>
    <w:basedOn w:val="110"/>
    <w:qFormat/>
    <w:uiPriority w:val="0"/>
    <w:pPr>
      <w:adjustRightInd/>
      <w:spacing w:line="300" w:lineRule="exact"/>
      <w:jc w:val="left"/>
      <w:textAlignment w:val="auto"/>
    </w:pPr>
    <w:rPr>
      <w:rFonts w:ascii="宋体" w:hAnsi="宋体"/>
      <w:spacing w:val="8"/>
      <w:kern w:val="2"/>
      <w:szCs w:val="24"/>
    </w:rPr>
  </w:style>
  <w:style w:type="paragraph" w:customStyle="1" w:styleId="204">
    <w:name w:val="表内字体"/>
    <w:basedOn w:val="1"/>
    <w:qFormat/>
    <w:uiPriority w:val="0"/>
    <w:pPr>
      <w:adjustRightInd w:val="0"/>
      <w:jc w:val="center"/>
      <w:textAlignment w:val="baseline"/>
    </w:pPr>
    <w:rPr>
      <w:rFonts w:eastAsia="仿宋_GB2312"/>
      <w:szCs w:val="21"/>
    </w:rPr>
  </w:style>
  <w:style w:type="paragraph" w:customStyle="1" w:styleId="205">
    <w:name w:val="1"/>
    <w:basedOn w:val="1"/>
    <w:next w:val="19"/>
    <w:qFormat/>
    <w:uiPriority w:val="0"/>
    <w:pPr>
      <w:ind w:left="-3" w:firstLine="423"/>
    </w:pPr>
    <w:rPr>
      <w:rFonts w:ascii="楷体_GB2312" w:eastAsia="楷体_GB2312"/>
    </w:rPr>
  </w:style>
  <w:style w:type="paragraph" w:customStyle="1" w:styleId="206">
    <w:name w:val="标题4"/>
    <w:basedOn w:val="5"/>
    <w:qFormat/>
    <w:uiPriority w:val="0"/>
    <w:rPr>
      <w:rFonts w:eastAsia="Times New Roman"/>
      <w:sz w:val="30"/>
    </w:rPr>
  </w:style>
  <w:style w:type="paragraph" w:customStyle="1" w:styleId="207">
    <w:name w:val="样式 标题 2 + (中文) 宋体 行距: 固定值 24 磅"/>
    <w:basedOn w:val="4"/>
    <w:qFormat/>
    <w:uiPriority w:val="0"/>
    <w:pPr>
      <w:tabs>
        <w:tab w:val="left" w:pos="1365"/>
      </w:tabs>
      <w:autoSpaceDE w:val="0"/>
      <w:autoSpaceDN w:val="0"/>
      <w:adjustRightInd w:val="0"/>
      <w:spacing w:before="0" w:after="0" w:line="480" w:lineRule="exact"/>
      <w:ind w:firstLine="0" w:firstLineChars="0"/>
    </w:pPr>
    <w:rPr>
      <w:rFonts w:ascii="宋体" w:hAnsi="宋体" w:eastAsia="宋体" w:cs="宋体"/>
      <w:b w:val="0"/>
      <w:bCs w:val="0"/>
      <w:kern w:val="0"/>
      <w:szCs w:val="20"/>
      <w:lang w:val="zh-CN"/>
    </w:rPr>
  </w:style>
  <w:style w:type="paragraph" w:customStyle="1" w:styleId="208">
    <w:name w:val="Other|1"/>
    <w:basedOn w:val="1"/>
    <w:qFormat/>
    <w:uiPriority w:val="0"/>
    <w:pPr>
      <w:widowControl w:val="0"/>
      <w:shd w:val="clear" w:color="auto" w:fill="auto"/>
      <w:spacing w:line="394" w:lineRule="auto"/>
      <w:ind w:firstLine="400"/>
    </w:pPr>
    <w:rPr>
      <w:rFonts w:ascii="宋体" w:hAnsi="宋体" w:eastAsia="宋体" w:cs="宋体"/>
      <w:sz w:val="30"/>
      <w:szCs w:val="30"/>
      <w:u w:val="none"/>
      <w:shd w:val="clear" w:color="auto" w:fill="auto"/>
      <w:lang w:val="zh-TW" w:eastAsia="zh-TW" w:bidi="zh-TW"/>
    </w:rPr>
  </w:style>
  <w:style w:type="paragraph" w:customStyle="1" w:styleId="209">
    <w:name w:val="样式 标题 1 + 首行缩进:  2 字符"/>
    <w:basedOn w:val="3"/>
    <w:qFormat/>
    <w:uiPriority w:val="0"/>
    <w:pPr>
      <w:spacing w:before="80" w:after="80" w:line="560" w:lineRule="exact"/>
    </w:pPr>
    <w:rPr>
      <w:sz w:val="36"/>
      <w:szCs w:val="20"/>
    </w:rPr>
  </w:style>
  <w:style w:type="paragraph" w:customStyle="1" w:styleId="210">
    <w:name w:val="样式 样式 列表 + 左侧:  0 厘米 悬挂缩进: 5.85 字符 + 行距: 固定值 24 磅"/>
    <w:basedOn w:val="211"/>
    <w:qFormat/>
    <w:uiPriority w:val="0"/>
    <w:pPr>
      <w:framePr w:hSpace="180" w:wrap="around" w:vAnchor="text" w:hAnchor="margin" w:y="202"/>
      <w:ind w:left="-55" w:leftChars="-26"/>
      <w:jc w:val="both"/>
    </w:pPr>
  </w:style>
  <w:style w:type="paragraph" w:customStyle="1" w:styleId="211">
    <w:name w:val="样式 列表 + 左侧:  0 厘米 悬挂缩进: 5.85 字符"/>
    <w:basedOn w:val="33"/>
    <w:qFormat/>
    <w:uiPriority w:val="0"/>
    <w:pPr>
      <w:spacing w:line="240" w:lineRule="auto"/>
    </w:pPr>
    <w:rPr>
      <w:rFonts w:ascii="Times New Roman" w:eastAsia="宋体"/>
      <w:color w:val="FF0000"/>
      <w:sz w:val="21"/>
      <w:szCs w:val="21"/>
      <w:lang w:val="zh-CN"/>
    </w:rPr>
  </w:style>
  <w:style w:type="paragraph" w:customStyle="1" w:styleId="212">
    <w:name w:val=" Char Char Char"/>
    <w:basedOn w:val="1"/>
    <w:qFormat/>
    <w:uiPriority w:val="0"/>
    <w:pPr>
      <w:adjustRightInd w:val="0"/>
      <w:spacing w:line="360" w:lineRule="auto"/>
    </w:pPr>
    <w:rPr>
      <w:kern w:val="0"/>
      <w:sz w:val="24"/>
      <w:szCs w:val="20"/>
    </w:rPr>
  </w:style>
  <w:style w:type="paragraph" w:customStyle="1" w:styleId="213">
    <w:name w:val="默认段落字体 Para Char Char Char Char Char Char1 Char Char Char Char Char Char Char"/>
    <w:basedOn w:val="1"/>
    <w:qFormat/>
    <w:uiPriority w:val="0"/>
  </w:style>
  <w:style w:type="paragraph" w:customStyle="1" w:styleId="214">
    <w:name w:val="样式 标题 3 + 首行缩进:  2 字符"/>
    <w:basedOn w:val="5"/>
    <w:qFormat/>
    <w:uiPriority w:val="0"/>
    <w:pPr>
      <w:spacing w:before="30" w:after="30" w:line="500" w:lineRule="exact"/>
      <w:ind w:firstLine="0" w:firstLineChars="0"/>
    </w:pPr>
    <w:rPr>
      <w:sz w:val="30"/>
      <w:szCs w:val="20"/>
    </w:rPr>
  </w:style>
  <w:style w:type="paragraph" w:customStyle="1" w:styleId="215">
    <w:name w:val="样式 样式 标题4 + (中文) 宋体 + (中文) 宋体 首行缩进:  1.06 厘米"/>
    <w:basedOn w:val="216"/>
    <w:qFormat/>
    <w:uiPriority w:val="0"/>
    <w:rPr>
      <w:rFonts w:eastAsia="宋体"/>
      <w:szCs w:val="20"/>
    </w:rPr>
  </w:style>
  <w:style w:type="paragraph" w:customStyle="1" w:styleId="216">
    <w:name w:val="样式 标题4 + (中文) 宋体"/>
    <w:basedOn w:val="206"/>
    <w:next w:val="2"/>
    <w:qFormat/>
    <w:uiPriority w:val="0"/>
    <w:pPr>
      <w:spacing w:before="0" w:after="0" w:line="480" w:lineRule="exact"/>
      <w:ind w:firstLine="0" w:firstLineChars="0"/>
      <w:outlineLvl w:val="3"/>
    </w:pPr>
  </w:style>
  <w:style w:type="paragraph" w:customStyle="1" w:styleId="217">
    <w:name w:val="xl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olor w:val="000000"/>
      <w:kern w:val="0"/>
      <w:szCs w:val="21"/>
    </w:rPr>
  </w:style>
  <w:style w:type="paragraph" w:customStyle="1" w:styleId="218">
    <w:name w:val="新正文"/>
    <w:basedOn w:val="1"/>
    <w:qFormat/>
    <w:uiPriority w:val="0"/>
    <w:pPr>
      <w:spacing w:line="480" w:lineRule="exact"/>
      <w:ind w:firstLine="482"/>
    </w:pPr>
    <w:rPr>
      <w:rFonts w:hint="eastAsia" w:ascii="仿宋_GB2312" w:eastAsia="仿宋_GB2312"/>
      <w:bCs/>
      <w:kern w:val="0"/>
      <w:sz w:val="28"/>
      <w:szCs w:val="20"/>
    </w:rPr>
  </w:style>
  <w:style w:type="paragraph" w:customStyle="1" w:styleId="219">
    <w:name w:val="样式 标题 3 + (西文) Times New Roman (中文) 宋体 小四 加粗"/>
    <w:basedOn w:val="5"/>
    <w:qFormat/>
    <w:uiPriority w:val="0"/>
    <w:pPr>
      <w:tabs>
        <w:tab w:val="left" w:pos="709"/>
        <w:tab w:val="left" w:pos="1680"/>
      </w:tabs>
      <w:adjustRightInd w:val="0"/>
      <w:snapToGrid w:val="0"/>
      <w:spacing w:before="120" w:beforeLines="50" w:after="120" w:afterLines="50" w:line="480" w:lineRule="exact"/>
      <w:ind w:left="1680" w:hanging="420" w:firstLineChars="0"/>
      <w:jc w:val="left"/>
    </w:pPr>
    <w:rPr>
      <w:rFonts w:hAnsi="宋体" w:eastAsia="黑体"/>
      <w:b w:val="0"/>
      <w:snapToGrid w:val="0"/>
      <w:sz w:val="30"/>
      <w:szCs w:val="30"/>
    </w:rPr>
  </w:style>
  <w:style w:type="paragraph" w:customStyle="1" w:styleId="220">
    <w:name w:val="Author"/>
    <w:basedOn w:val="1"/>
    <w:next w:val="1"/>
    <w:qFormat/>
    <w:uiPriority w:val="0"/>
    <w:pPr>
      <w:autoSpaceDE w:val="0"/>
      <w:autoSpaceDN w:val="0"/>
      <w:adjustRightInd w:val="0"/>
      <w:spacing w:before="120"/>
      <w:jc w:val="left"/>
    </w:pPr>
    <w:rPr>
      <w:kern w:val="0"/>
      <w:sz w:val="24"/>
    </w:rPr>
  </w:style>
  <w:style w:type="paragraph" w:customStyle="1" w:styleId="221">
    <w:name w:val="列表标题"/>
    <w:basedOn w:val="1"/>
    <w:next w:val="1"/>
    <w:qFormat/>
    <w:uiPriority w:val="0"/>
    <w:pPr>
      <w:jc w:val="center"/>
    </w:pPr>
    <w:rPr>
      <w:sz w:val="24"/>
      <w:szCs w:val="20"/>
    </w:rPr>
  </w:style>
  <w:style w:type="paragraph" w:customStyle="1" w:styleId="222">
    <w:name w:val=" Char1 Char Char Char Char Char Char Char Char Char Char Char Char Char Char Char Char Char"/>
    <w:basedOn w:val="1"/>
    <w:qFormat/>
    <w:uiPriority w:val="0"/>
    <w:rPr>
      <w:sz w:val="24"/>
    </w:rPr>
  </w:style>
  <w:style w:type="paragraph" w:customStyle="1" w:styleId="223">
    <w:name w:val="表蕊居中"/>
    <w:qFormat/>
    <w:uiPriority w:val="0"/>
    <w:pPr>
      <w:spacing w:line="320" w:lineRule="exact"/>
      <w:jc w:val="center"/>
    </w:pPr>
    <w:rPr>
      <w:rFonts w:ascii="Times New Roman" w:hAnsi="Times New Roman" w:eastAsia="宋体" w:cs="Times New Roman"/>
      <w:spacing w:val="8"/>
      <w:sz w:val="21"/>
      <w:szCs w:val="28"/>
      <w:lang w:val="en-US" w:eastAsia="zh-CN" w:bidi="ar-SA"/>
    </w:rPr>
  </w:style>
  <w:style w:type="paragraph" w:customStyle="1" w:styleId="224">
    <w:name w:val="标题2"/>
    <w:basedOn w:val="1"/>
    <w:next w:val="1"/>
    <w:qFormat/>
    <w:uiPriority w:val="0"/>
    <w:pPr>
      <w:autoSpaceDE w:val="0"/>
      <w:autoSpaceDN w:val="0"/>
      <w:snapToGrid w:val="0"/>
      <w:spacing w:line="590" w:lineRule="atLeast"/>
      <w:jc w:val="center"/>
    </w:pPr>
    <w:rPr>
      <w:rFonts w:eastAsia="方正楷体_GBK"/>
      <w:snapToGrid w:val="0"/>
      <w:kern w:val="0"/>
      <w:sz w:val="32"/>
      <w:szCs w:val="20"/>
    </w:rPr>
  </w:style>
  <w:style w:type="paragraph" w:customStyle="1" w:styleId="225">
    <w:name w:val=" Char Char Char Char"/>
    <w:basedOn w:val="1"/>
    <w:qFormat/>
    <w:uiPriority w:val="0"/>
    <w:rPr>
      <w:szCs w:val="21"/>
    </w:rPr>
  </w:style>
  <w:style w:type="paragraph" w:customStyle="1" w:styleId="226">
    <w:name w:val="正文格式"/>
    <w:basedOn w:val="1"/>
    <w:qFormat/>
    <w:uiPriority w:val="0"/>
    <w:pPr>
      <w:spacing w:line="360" w:lineRule="auto"/>
      <w:ind w:firstLine="482"/>
    </w:pPr>
    <w:rPr>
      <w:rFonts w:ascii="宋体" w:cs="宋体"/>
      <w:sz w:val="24"/>
    </w:rPr>
  </w:style>
  <w:style w:type="paragraph" w:customStyle="1" w:styleId="227">
    <w:name w:val="表格标题"/>
    <w:basedOn w:val="148"/>
    <w:qFormat/>
    <w:uiPriority w:val="0"/>
    <w:rPr>
      <w:b/>
    </w:rPr>
  </w:style>
  <w:style w:type="paragraph" w:customStyle="1" w:styleId="228">
    <w:name w:val=" Char4 Char Char Char Char Char1 Char Char Char Char Char Char Char Char Char Char Char Char Char"/>
    <w:basedOn w:val="1"/>
    <w:qFormat/>
    <w:uiPriority w:val="0"/>
    <w:pPr>
      <w:spacing w:line="240" w:lineRule="exact"/>
      <w:ind w:firstLine="200" w:firstLineChars="200"/>
    </w:pPr>
    <w:rPr>
      <w:szCs w:val="20"/>
    </w:rPr>
  </w:style>
  <w:style w:type="paragraph" w:customStyle="1" w:styleId="229">
    <w:name w:val=" 字元 字元"/>
    <w:basedOn w:val="1"/>
    <w:qFormat/>
    <w:uiPriority w:val="0"/>
    <w:rPr>
      <w:sz w:val="24"/>
    </w:rPr>
  </w:style>
  <w:style w:type="paragraph" w:customStyle="1" w:styleId="230">
    <w:name w:val="样式 标题 2 + 首行缩进:  2 字符"/>
    <w:basedOn w:val="4"/>
    <w:qFormat/>
    <w:uiPriority w:val="0"/>
    <w:pPr>
      <w:spacing w:before="40" w:after="40" w:line="520" w:lineRule="exact"/>
      <w:ind w:firstLine="0" w:firstLineChars="0"/>
    </w:pPr>
    <w:rPr>
      <w:szCs w:val="20"/>
    </w:rPr>
  </w:style>
  <w:style w:type="paragraph" w:customStyle="1" w:styleId="231">
    <w:name w:val="填表内容"/>
    <w:basedOn w:val="1"/>
    <w:qFormat/>
    <w:uiPriority w:val="0"/>
    <w:pPr>
      <w:adjustRightInd w:val="0"/>
      <w:spacing w:line="480" w:lineRule="exact"/>
      <w:ind w:firstLine="560" w:firstLineChars="200"/>
      <w:jc w:val="left"/>
      <w:textAlignment w:val="baseline"/>
    </w:pPr>
    <w:rPr>
      <w:rFonts w:ascii="??_GB2312" w:eastAsia="Times New Roman"/>
      <w:sz w:val="28"/>
    </w:rPr>
  </w:style>
  <w:style w:type="paragraph" w:customStyle="1" w:styleId="232">
    <w:name w:val="正文表标题"/>
    <w:next w:val="1"/>
    <w:qFormat/>
    <w:uiPriority w:val="0"/>
    <w:pPr>
      <w:tabs>
        <w:tab w:val="left" w:pos="360"/>
      </w:tabs>
      <w:ind w:left="360" w:hanging="360"/>
      <w:jc w:val="center"/>
    </w:pPr>
    <w:rPr>
      <w:rFonts w:ascii="黑体" w:hAnsi="Times New Roman" w:eastAsia="黑体" w:cs="Times New Roman"/>
      <w:sz w:val="21"/>
      <w:lang w:val="en-US" w:eastAsia="zh-CN" w:bidi="ar-SA"/>
    </w:rPr>
  </w:style>
  <w:style w:type="paragraph" w:customStyle="1" w:styleId="233">
    <w:name w:val="默认段落字体 Para Char Char Char Char Char Char Char Char Char Char Char Char Char"/>
    <w:basedOn w:val="1"/>
    <w:qFormat/>
    <w:uiPriority w:val="0"/>
    <w:rPr>
      <w:rFonts w:eastAsia="Times New Roman"/>
      <w:kern w:val="0"/>
      <w:sz w:val="20"/>
    </w:rPr>
  </w:style>
  <w:style w:type="paragraph" w:customStyle="1" w:styleId="234">
    <w:name w:val="xl30"/>
    <w:basedOn w:val="1"/>
    <w:qFormat/>
    <w:uiPriority w:val="0"/>
    <w:pPr>
      <w:widowControl/>
      <w:pBdr>
        <w:bottom w:val="single" w:color="auto" w:sz="4" w:space="0"/>
        <w:right w:val="single" w:color="auto" w:sz="4" w:space="0"/>
      </w:pBdr>
      <w:spacing w:before="100" w:beforeAutospacing="1" w:after="100" w:afterAutospacing="1"/>
      <w:jc w:val="center"/>
    </w:pPr>
    <w:rPr>
      <w:rFonts w:eastAsia="Times New Roman"/>
      <w:kern w:val="0"/>
      <w:szCs w:val="21"/>
    </w:rPr>
  </w:style>
  <w:style w:type="paragraph" w:customStyle="1" w:styleId="235">
    <w:name w:val="List Paragraph1"/>
    <w:basedOn w:val="1"/>
    <w:qFormat/>
    <w:uiPriority w:val="1"/>
    <w:pPr>
      <w:spacing w:before="1"/>
      <w:ind w:left="326" w:hanging="601"/>
    </w:pPr>
    <w:rPr>
      <w:rFonts w:ascii="宋体" w:hAnsi="宋体" w:eastAsia="宋体" w:cs="宋体"/>
      <w:lang w:val="zh-CN" w:eastAsia="zh-CN" w:bidi="zh-CN"/>
    </w:rPr>
  </w:style>
  <w:style w:type="paragraph" w:customStyle="1" w:styleId="236">
    <w:name w:val=" Char2"/>
    <w:basedOn w:val="1"/>
    <w:qFormat/>
    <w:uiPriority w:val="0"/>
    <w:pPr>
      <w:snapToGrid w:val="0"/>
      <w:spacing w:line="360" w:lineRule="auto"/>
      <w:ind w:firstLine="200" w:firstLineChars="200"/>
    </w:pPr>
    <w:rPr>
      <w:rFonts w:eastAsia="仿宋_GB2312"/>
      <w:sz w:val="24"/>
    </w:rPr>
  </w:style>
  <w:style w:type="paragraph" w:customStyle="1" w:styleId="237">
    <w:name w:val="9 Char Char Char7 Char"/>
    <w:basedOn w:val="1"/>
    <w:qFormat/>
    <w:uiPriority w:val="0"/>
    <w:pPr>
      <w:spacing w:line="240" w:lineRule="exact"/>
      <w:ind w:firstLine="200" w:firstLineChars="200"/>
    </w:pPr>
    <w:rPr>
      <w:sz w:val="28"/>
      <w:szCs w:val="28"/>
    </w:rPr>
  </w:style>
  <w:style w:type="paragraph" w:customStyle="1" w:styleId="238">
    <w:name w:val="样式 列表 + 左侧:  0 厘米 悬挂缩进: 2 字符"/>
    <w:basedOn w:val="33"/>
    <w:qFormat/>
    <w:uiPriority w:val="0"/>
    <w:pPr>
      <w:tabs>
        <w:tab w:val="center" w:pos="4153"/>
        <w:tab w:val="right" w:pos="8306"/>
      </w:tabs>
      <w:snapToGrid w:val="0"/>
      <w:spacing w:line="360" w:lineRule="exact"/>
    </w:pPr>
    <w:rPr>
      <w:rFonts w:ascii="Times New Roman" w:eastAsia="宋体" w:cs="宋体"/>
      <w:sz w:val="21"/>
      <w:szCs w:val="21"/>
    </w:rPr>
  </w:style>
  <w:style w:type="paragraph" w:customStyle="1" w:styleId="239">
    <w:name w:val="默认段落字体 Para Char Char Char Char Char Char Char Char Char Char"/>
    <w:basedOn w:val="1"/>
    <w:qFormat/>
    <w:uiPriority w:val="0"/>
    <w:rPr>
      <w:rFonts w:ascii="Tahoma" w:hAnsi="Tahoma"/>
      <w:sz w:val="24"/>
      <w:szCs w:val="20"/>
    </w:rPr>
  </w:style>
  <w:style w:type="paragraph" w:customStyle="1" w:styleId="240">
    <w:name w:val="价格变化趋 "/>
    <w:basedOn w:val="1"/>
    <w:qFormat/>
    <w:uiPriority w:val="0"/>
    <w:pPr>
      <w:adjustRightInd w:val="0"/>
      <w:spacing w:line="315" w:lineRule="atLeast"/>
      <w:ind w:firstLine="601"/>
      <w:textAlignment w:val="baseline"/>
    </w:pPr>
    <w:rPr>
      <w:rFonts w:ascii="宋体"/>
      <w:spacing w:val="8"/>
      <w:szCs w:val="20"/>
    </w:rPr>
  </w:style>
  <w:style w:type="paragraph" w:customStyle="1" w:styleId="241">
    <w:name w:val=" Char4 Char Char Char Char Char Char Char Char Char Char Char Char Char Char Char Char Char1 Char Char Char Char"/>
    <w:basedOn w:val="1"/>
    <w:qFormat/>
    <w:uiPriority w:val="0"/>
    <w:pPr>
      <w:spacing w:line="240" w:lineRule="exact"/>
      <w:ind w:firstLine="200" w:firstLineChars="200"/>
    </w:pPr>
    <w:rPr>
      <w:sz w:val="28"/>
      <w:szCs w:val="28"/>
    </w:rPr>
  </w:style>
  <w:style w:type="paragraph" w:customStyle="1" w:styleId="242">
    <w:name w:val="CM4"/>
    <w:basedOn w:val="1"/>
    <w:next w:val="1"/>
    <w:qFormat/>
    <w:uiPriority w:val="0"/>
    <w:pPr>
      <w:autoSpaceDE w:val="0"/>
      <w:autoSpaceDN w:val="0"/>
      <w:adjustRightInd w:val="0"/>
      <w:jc w:val="left"/>
    </w:pPr>
    <w:rPr>
      <w:rFonts w:ascii="黑体" w:eastAsia="黑体"/>
      <w:kern w:val="0"/>
      <w:sz w:val="24"/>
    </w:rPr>
  </w:style>
  <w:style w:type="paragraph" w:styleId="243">
    <w:name w:val="List Paragraph"/>
    <w:basedOn w:val="1"/>
    <w:qFormat/>
    <w:uiPriority w:val="34"/>
    <w:pPr>
      <w:ind w:left="720"/>
      <w:contextualSpacing/>
    </w:pPr>
  </w:style>
  <w:style w:type="paragraph" w:customStyle="1" w:styleId="244">
    <w:name w:val="Quote"/>
    <w:basedOn w:val="1"/>
    <w:next w:val="1"/>
    <w:qFormat/>
    <w:uiPriority w:val="99"/>
    <w:pPr>
      <w:spacing w:line="240" w:lineRule="auto"/>
      <w:jc w:val="center"/>
    </w:pPr>
    <w:rPr>
      <w:rFonts w:eastAsia="Times New Roman"/>
      <w:iCs/>
      <w:color w:val="000000"/>
      <w:sz w:val="21"/>
    </w:rPr>
  </w:style>
  <w:style w:type="paragraph" w:customStyle="1" w:styleId="245">
    <w:name w:val="表题"/>
    <w:basedOn w:val="1"/>
    <w:qFormat/>
    <w:uiPriority w:val="0"/>
    <w:pPr>
      <w:snapToGrid w:val="0"/>
      <w:jc w:val="center"/>
    </w:pPr>
    <w:rPr>
      <w:rFonts w:eastAsia="黑体"/>
      <w:sz w:val="24"/>
      <w:szCs w:val="20"/>
    </w:rPr>
  </w:style>
  <w:style w:type="paragraph" w:customStyle="1" w:styleId="246">
    <w:name w:val="chen正文111"/>
    <w:basedOn w:val="1"/>
    <w:qFormat/>
    <w:uiPriority w:val="0"/>
    <w:pPr>
      <w:adjustRightInd w:val="0"/>
      <w:snapToGrid w:val="0"/>
      <w:spacing w:line="500" w:lineRule="exact"/>
      <w:ind w:firstLine="560" w:firstLineChars="200"/>
    </w:pPr>
    <w:rPr>
      <w:rFonts w:eastAsia="仿宋_GB2312"/>
      <w:bCs/>
      <w:snapToGrid/>
      <w:color w:val="000000"/>
      <w:kern w:val="2"/>
      <w:szCs w:val="28"/>
    </w:rPr>
  </w:style>
  <w:style w:type="paragraph" w:customStyle="1" w:styleId="247">
    <w:name w:val="Char"/>
    <w:basedOn w:val="1"/>
    <w:qFormat/>
    <w:uiPriority w:val="0"/>
    <w:pPr>
      <w:spacing w:line="500" w:lineRule="exact"/>
      <w:ind w:left="200" w:hanging="200" w:hangingChars="200"/>
    </w:pPr>
    <w:rPr>
      <w:rFonts w:ascii="宋体" w:hAnsi="宋体"/>
      <w:sz w:val="28"/>
      <w:szCs w:val="28"/>
    </w:rPr>
  </w:style>
  <w:style w:type="paragraph" w:customStyle="1" w:styleId="248">
    <w:name w:val="1.1.1"/>
    <w:basedOn w:val="1"/>
    <w:qFormat/>
    <w:uiPriority w:val="0"/>
    <w:pPr>
      <w:tabs>
        <w:tab w:val="left" w:pos="2190"/>
      </w:tabs>
    </w:pPr>
    <w:rPr>
      <w:rFonts w:ascii="黑体"/>
      <w:sz w:val="24"/>
    </w:rPr>
  </w:style>
  <w:style w:type="paragraph" w:customStyle="1" w:styleId="249">
    <w:name w:val="样式 标题 1 + (中文) 宋体 小三 行距: 多倍行距 1.35 字行"/>
    <w:basedOn w:val="3"/>
    <w:qFormat/>
    <w:uiPriority w:val="0"/>
    <w:pPr>
      <w:tabs>
        <w:tab w:val="left" w:pos="284"/>
        <w:tab w:val="left" w:pos="1770"/>
      </w:tabs>
      <w:snapToGrid w:val="0"/>
      <w:spacing w:before="120" w:beforeLines="50" w:after="120" w:afterLines="50" w:line="480" w:lineRule="exact"/>
      <w:ind w:left="432" w:hanging="432"/>
    </w:pPr>
    <w:rPr>
      <w:rFonts w:hAnsi="宋体" w:eastAsia="黑体"/>
      <w:b/>
      <w:sz w:val="36"/>
      <w:szCs w:val="36"/>
    </w:rPr>
  </w:style>
  <w:style w:type="paragraph" w:customStyle="1" w:styleId="250">
    <w:name w:val=".."/>
    <w:basedOn w:val="1"/>
    <w:next w:val="1"/>
    <w:qFormat/>
    <w:uiPriority w:val="0"/>
    <w:pPr>
      <w:autoSpaceDE w:val="0"/>
      <w:autoSpaceDN w:val="0"/>
      <w:adjustRightInd w:val="0"/>
      <w:jc w:val="center"/>
    </w:pPr>
    <w:rPr>
      <w:rFonts w:ascii=".." w:hAnsi="Times New Roman" w:eastAsia=".."/>
      <w:kern w:val="0"/>
      <w:szCs w:val="24"/>
    </w:rPr>
  </w:style>
  <w:style w:type="paragraph" w:customStyle="1" w:styleId="251">
    <w:name w:val="表头样式1"/>
    <w:basedOn w:val="1"/>
    <w:qFormat/>
    <w:uiPriority w:val="0"/>
    <w:pPr>
      <w:spacing w:before="240" w:after="120" w:line="380" w:lineRule="atLeast"/>
      <w:jc w:val="center"/>
    </w:pPr>
    <w:rPr>
      <w:rFonts w:ascii="Times New Roman" w:eastAsia="黑体"/>
      <w:b/>
      <w:sz w:val="24"/>
      <w:szCs w:val="20"/>
    </w:rPr>
  </w:style>
  <w:style w:type="paragraph" w:customStyle="1" w:styleId="252">
    <w:name w:val="正文zy"/>
    <w:basedOn w:val="1"/>
    <w:qFormat/>
    <w:uiPriority w:val="0"/>
    <w:pPr>
      <w:snapToGrid w:val="0"/>
      <w:spacing w:line="360" w:lineRule="auto"/>
      <w:ind w:firstLine="480" w:firstLineChars="200"/>
    </w:pPr>
    <w:rPr>
      <w:color w:val="000000"/>
      <w:sz w:val="24"/>
    </w:rPr>
  </w:style>
  <w:style w:type="paragraph" w:customStyle="1" w:styleId="253">
    <w:name w:val="表头zy"/>
    <w:basedOn w:val="1"/>
    <w:qFormat/>
    <w:uiPriority w:val="0"/>
    <w:pPr>
      <w:jc w:val="center"/>
    </w:pPr>
    <w:rPr>
      <w:b/>
      <w:kern w:val="0"/>
    </w:rPr>
  </w:style>
  <w:style w:type="paragraph" w:customStyle="1" w:styleId="254">
    <w:name w:val="表文-zy"/>
    <w:basedOn w:val="1"/>
    <w:qFormat/>
    <w:uiPriority w:val="0"/>
    <w:pPr>
      <w:jc w:val="center"/>
    </w:pPr>
    <w:rPr>
      <w:szCs w:val="21"/>
    </w:rPr>
  </w:style>
  <w:style w:type="paragraph" w:customStyle="1" w:styleId="255">
    <w:name w:val="表格正文"/>
    <w:basedOn w:val="1"/>
    <w:qFormat/>
    <w:uiPriority w:val="0"/>
    <w:rPr>
      <w:rFonts w:eastAsia="宋体"/>
      <w:sz w:val="21"/>
    </w:rPr>
  </w:style>
  <w:style w:type="paragraph" w:customStyle="1" w:styleId="256">
    <w:name w:val="A正文"/>
    <w:basedOn w:val="1"/>
    <w:qFormat/>
    <w:uiPriority w:val="0"/>
    <w:rPr>
      <w:rFonts w:cs="Times New Roman"/>
      <w:szCs w:val="24"/>
    </w:rPr>
  </w:style>
  <w:style w:type="paragraph" w:customStyle="1" w:styleId="257">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258">
    <w:name w:val="font121"/>
    <w:qFormat/>
    <w:uiPriority w:val="0"/>
    <w:rPr>
      <w:rFonts w:hint="eastAsia" w:ascii="宋体" w:hAnsi="宋体" w:eastAsia="宋体" w:cs="宋体"/>
      <w:color w:val="000000"/>
      <w:sz w:val="24"/>
      <w:szCs w:val="24"/>
      <w:u w:val="none"/>
    </w:rPr>
  </w:style>
  <w:style w:type="paragraph" w:customStyle="1" w:styleId="259">
    <w:name w:val="表格内容"/>
    <w:basedOn w:val="1"/>
    <w:next w:val="1"/>
    <w:qFormat/>
    <w:uiPriority w:val="0"/>
    <w:pPr>
      <w:overflowPunct w:val="0"/>
      <w:adjustRightInd w:val="0"/>
      <w:snapToGrid w:val="0"/>
      <w:textAlignment w:val="baseline"/>
    </w:pPr>
    <w:rPr>
      <w:sz w:val="21"/>
    </w:rPr>
  </w:style>
  <w:style w:type="table" w:customStyle="1" w:styleId="260">
    <w:name w:val="Table Normal"/>
    <w:unhideWhenUsed/>
    <w:qFormat/>
    <w:uiPriority w:val="2"/>
    <w:rPr>
      <w:lang w:val="en-US" w:eastAsia="zh-CN" w:bidi="ar-SA"/>
    </w:rPr>
    <w:tblPr>
      <w:tblCellMar>
        <w:top w:w="0" w:type="dxa"/>
        <w:left w:w="0" w:type="dxa"/>
        <w:bottom w:w="0" w:type="dxa"/>
        <w:right w:w="0" w:type="dxa"/>
      </w:tblCellMar>
    </w:tblPr>
  </w:style>
  <w:style w:type="character" w:customStyle="1" w:styleId="261">
    <w:name w:val="font61"/>
    <w:qFormat/>
    <w:uiPriority w:val="0"/>
    <w:rPr>
      <w:rFonts w:hint="default" w:ascii="Times New Roman" w:hAnsi="Times New Roman" w:cs="Times New Roman"/>
      <w:color w:val="FF0000"/>
      <w:sz w:val="20"/>
      <w:szCs w:val="20"/>
      <w:u w:val="none"/>
    </w:rPr>
  </w:style>
  <w:style w:type="character" w:customStyle="1" w:styleId="262">
    <w:name w:val="font71"/>
    <w:qFormat/>
    <w:uiPriority w:val="0"/>
    <w:rPr>
      <w:rFonts w:hint="eastAsia" w:ascii="宋体" w:hAnsi="宋体" w:eastAsia="宋体" w:cs="宋体"/>
      <w:color w:val="000000"/>
      <w:sz w:val="20"/>
      <w:szCs w:val="20"/>
      <w:u w:val="none"/>
    </w:rPr>
  </w:style>
  <w:style w:type="character" w:customStyle="1" w:styleId="263">
    <w:name w:val="段落1 Char Char"/>
    <w:link w:val="264"/>
    <w:qFormat/>
    <w:uiPriority w:val="0"/>
    <w:rPr>
      <w:color w:val="000000"/>
      <w:spacing w:val="8"/>
      <w:kern w:val="2"/>
      <w:sz w:val="24"/>
    </w:rPr>
  </w:style>
  <w:style w:type="paragraph" w:customStyle="1" w:styleId="264">
    <w:name w:val="段落1"/>
    <w:basedOn w:val="1"/>
    <w:link w:val="263"/>
    <w:qFormat/>
    <w:uiPriority w:val="0"/>
    <w:pPr>
      <w:widowControl/>
      <w:tabs>
        <w:tab w:val="left" w:pos="180"/>
        <w:tab w:val="left" w:pos="3420"/>
        <w:tab w:val="left" w:pos="4140"/>
        <w:tab w:val="left" w:pos="5580"/>
      </w:tabs>
      <w:spacing w:line="360" w:lineRule="auto"/>
      <w:ind w:firstLine="475" w:firstLineChars="198"/>
    </w:pPr>
    <w:rPr>
      <w:color w:val="000000"/>
      <w:spacing w:val="8"/>
      <w:sz w:val="24"/>
      <w:szCs w:val="20"/>
    </w:rPr>
  </w:style>
  <w:style w:type="paragraph" w:customStyle="1" w:styleId="265">
    <w:name w:val="Char Char7 Char Char"/>
    <w:basedOn w:val="1"/>
    <w:qFormat/>
    <w:uiPriority w:val="0"/>
    <w:pPr>
      <w:widowControl/>
      <w:jc w:val="left"/>
    </w:pPr>
    <w:rPr>
      <w:rFonts w:ascii="宋体" w:hAnsi="宋体" w:cs="宋体"/>
      <w:kern w:val="0"/>
      <w:sz w:val="24"/>
    </w:rPr>
  </w:style>
  <w:style w:type="character" w:customStyle="1" w:styleId="266">
    <w:name w:val="标题 1 Char"/>
    <w:qFormat/>
    <w:uiPriority w:val="9"/>
    <w:rPr>
      <w:rFonts w:ascii="Times New Roman" w:hAnsi="Times New Roman" w:eastAsia="宋体" w:cs="Times New Roman"/>
      <w:b/>
      <w:bCs/>
      <w:kern w:val="44"/>
      <w:sz w:val="44"/>
      <w:szCs w:val="44"/>
    </w:rPr>
  </w:style>
  <w:style w:type="character" w:customStyle="1" w:styleId="267">
    <w:name w:val="标题 2 Char"/>
    <w:semiHidden/>
    <w:qFormat/>
    <w:uiPriority w:val="9"/>
    <w:rPr>
      <w:rFonts w:ascii="Cambria" w:hAnsi="Cambria" w:eastAsia="宋体" w:cs="Times New Roman"/>
      <w:b/>
      <w:bCs/>
      <w:sz w:val="32"/>
      <w:szCs w:val="32"/>
    </w:rPr>
  </w:style>
  <w:style w:type="character" w:customStyle="1" w:styleId="268">
    <w:name w:val="标题 3 Char"/>
    <w:semiHidden/>
    <w:qFormat/>
    <w:uiPriority w:val="9"/>
    <w:rPr>
      <w:rFonts w:ascii="Times New Roman" w:hAnsi="Times New Roman" w:eastAsia="宋体" w:cs="Times New Roman"/>
      <w:b/>
      <w:bCs/>
      <w:sz w:val="32"/>
      <w:szCs w:val="32"/>
    </w:rPr>
  </w:style>
  <w:style w:type="character" w:customStyle="1" w:styleId="269">
    <w:name w:val="标题 1 Char1"/>
    <w:qFormat/>
    <w:uiPriority w:val="0"/>
    <w:rPr>
      <w:rFonts w:ascii="Times New Roman" w:hAnsi="Times New Roman" w:eastAsia="黑体" w:cs="Times New Roman"/>
      <w:kern w:val="44"/>
      <w:sz w:val="30"/>
      <w:szCs w:val="30"/>
    </w:rPr>
  </w:style>
  <w:style w:type="character" w:customStyle="1" w:styleId="270">
    <w:name w:val="标题 2 Char1"/>
    <w:qFormat/>
    <w:uiPriority w:val="0"/>
    <w:rPr>
      <w:rFonts w:ascii="Times New Roman" w:hAnsi="Times New Roman" w:eastAsia="宋体" w:cs="Times New Roman"/>
      <w:b/>
      <w:bCs/>
      <w:szCs w:val="21"/>
    </w:rPr>
  </w:style>
  <w:style w:type="character" w:customStyle="1" w:styleId="271">
    <w:name w:val="标题 3 Char2"/>
    <w:qFormat/>
    <w:uiPriority w:val="0"/>
    <w:rPr>
      <w:rFonts w:ascii="Times New Roman" w:hAnsi="Times New Roman" w:eastAsia="宋体" w:cs="Times New Roman"/>
      <w:b/>
      <w:bCs/>
      <w:sz w:val="32"/>
      <w:szCs w:val="32"/>
    </w:rPr>
  </w:style>
  <w:style w:type="character" w:customStyle="1" w:styleId="272">
    <w:name w:val="正文文本 Char"/>
    <w:semiHidden/>
    <w:qFormat/>
    <w:uiPriority w:val="99"/>
    <w:rPr>
      <w:rFonts w:ascii="Times New Roman" w:hAnsi="Times New Roman" w:eastAsia="宋体" w:cs="Times New Roman"/>
      <w:sz w:val="24"/>
      <w:szCs w:val="21"/>
    </w:rPr>
  </w:style>
  <w:style w:type="character" w:customStyle="1" w:styleId="273">
    <w:name w:val="正文文本 Char1"/>
    <w:qFormat/>
    <w:uiPriority w:val="0"/>
    <w:rPr>
      <w:rFonts w:ascii="Times New Roman" w:hAnsi="Times New Roman" w:eastAsia="宋体" w:cs="Times New Roman"/>
      <w:szCs w:val="21"/>
    </w:rPr>
  </w:style>
  <w:style w:type="character" w:customStyle="1" w:styleId="274">
    <w:name w:val="正文文本缩进 Char"/>
    <w:semiHidden/>
    <w:qFormat/>
    <w:uiPriority w:val="99"/>
    <w:rPr>
      <w:rFonts w:ascii="Times New Roman" w:hAnsi="Times New Roman" w:eastAsia="宋体" w:cs="Times New Roman"/>
      <w:sz w:val="24"/>
      <w:szCs w:val="21"/>
    </w:rPr>
  </w:style>
  <w:style w:type="character" w:customStyle="1" w:styleId="275">
    <w:name w:val="正文文本缩进 Char1"/>
    <w:qFormat/>
    <w:uiPriority w:val="0"/>
    <w:rPr>
      <w:rFonts w:ascii="楷体_GB2312" w:hAnsi="Times New Roman" w:eastAsia="楷体_GB2312" w:cs="Times New Roman"/>
      <w:szCs w:val="21"/>
    </w:rPr>
  </w:style>
  <w:style w:type="paragraph" w:customStyle="1" w:styleId="276">
    <w:name w:val="4"/>
    <w:basedOn w:val="1"/>
    <w:next w:val="243"/>
    <w:qFormat/>
    <w:uiPriority w:val="34"/>
    <w:pPr>
      <w:ind w:left="720"/>
      <w:contextualSpacing/>
    </w:pPr>
  </w:style>
  <w:style w:type="character" w:customStyle="1" w:styleId="277">
    <w:name w:val="批注框文本 Char"/>
    <w:semiHidden/>
    <w:qFormat/>
    <w:uiPriority w:val="99"/>
    <w:rPr>
      <w:rFonts w:ascii="Times New Roman" w:hAnsi="Times New Roman" w:eastAsia="宋体" w:cs="Times New Roman"/>
      <w:sz w:val="18"/>
      <w:szCs w:val="18"/>
    </w:rPr>
  </w:style>
  <w:style w:type="character" w:customStyle="1" w:styleId="278">
    <w:name w:val="批注框文本 Char1"/>
    <w:semiHidden/>
    <w:qFormat/>
    <w:uiPriority w:val="0"/>
    <w:rPr>
      <w:rFonts w:ascii="Times New Roman" w:hAnsi="Times New Roman" w:eastAsia="宋体" w:cs="Times New Roman"/>
      <w:sz w:val="18"/>
      <w:szCs w:val="18"/>
    </w:rPr>
  </w:style>
  <w:style w:type="character" w:customStyle="1" w:styleId="279">
    <w:name w:val="正文文本缩进 3 Char"/>
    <w:semiHidden/>
    <w:qFormat/>
    <w:uiPriority w:val="99"/>
    <w:rPr>
      <w:rFonts w:ascii="Times New Roman" w:hAnsi="Times New Roman" w:eastAsia="宋体" w:cs="Times New Roman"/>
      <w:sz w:val="16"/>
      <w:szCs w:val="16"/>
    </w:rPr>
  </w:style>
  <w:style w:type="character" w:customStyle="1" w:styleId="280">
    <w:name w:val="正文文本缩进 3 Char1"/>
    <w:qFormat/>
    <w:uiPriority w:val="0"/>
    <w:rPr>
      <w:rFonts w:ascii="Times New Roman" w:hAnsi="Times New Roman" w:eastAsia="仿宋_GB2312" w:cs="Times New Roman"/>
      <w:color w:val="FF0000"/>
      <w:sz w:val="28"/>
      <w:szCs w:val="20"/>
    </w:rPr>
  </w:style>
  <w:style w:type="character" w:customStyle="1" w:styleId="281">
    <w:name w:val="HTML 预设格式 Char"/>
    <w:semiHidden/>
    <w:qFormat/>
    <w:uiPriority w:val="99"/>
    <w:rPr>
      <w:rFonts w:ascii="Courier New" w:hAnsi="Courier New" w:eastAsia="宋体" w:cs="Courier New"/>
      <w:sz w:val="20"/>
      <w:szCs w:val="20"/>
    </w:rPr>
  </w:style>
  <w:style w:type="character" w:customStyle="1" w:styleId="282">
    <w:name w:val="HTML 预设格式 Char1"/>
    <w:qFormat/>
    <w:uiPriority w:val="0"/>
    <w:rPr>
      <w:rFonts w:ascii="Arial" w:hAnsi="Arial" w:eastAsia="宋体" w:cs="Arial"/>
      <w:kern w:val="0"/>
      <w:sz w:val="24"/>
      <w:szCs w:val="21"/>
    </w:rPr>
  </w:style>
  <w:style w:type="character" w:customStyle="1" w:styleId="283">
    <w:name w:val="批注主题 Char"/>
    <w:semiHidden/>
    <w:qFormat/>
    <w:uiPriority w:val="99"/>
    <w:rPr>
      <w:rFonts w:ascii="Times New Roman" w:hAnsi="Times New Roman" w:eastAsia="宋体" w:cs="Times New Roman"/>
      <w:b/>
      <w:bCs/>
      <w:sz w:val="24"/>
      <w:szCs w:val="21"/>
    </w:rPr>
  </w:style>
  <w:style w:type="character" w:customStyle="1" w:styleId="284">
    <w:name w:val="批注主题 Char1"/>
    <w:semiHidden/>
    <w:qFormat/>
    <w:uiPriority w:val="0"/>
    <w:rPr>
      <w:rFonts w:ascii="Times New Roman" w:hAnsi="Times New Roman" w:eastAsia="宋体" w:cs="Times New Roman"/>
      <w:b/>
      <w:bCs/>
      <w:szCs w:val="21"/>
    </w:rPr>
  </w:style>
  <w:style w:type="character" w:customStyle="1" w:styleId="285">
    <w:name w:val="正文首行缩进 2 Char1"/>
    <w:qFormat/>
    <w:uiPriority w:val="0"/>
    <w:rPr>
      <w:lang w:val="en-US" w:eastAsia="zh-CN" w:bidi="ar-SA"/>
    </w:rPr>
  </w:style>
  <w:style w:type="table" w:customStyle="1" w:styleId="286">
    <w:name w:val="网格型1"/>
    <w:basedOn w:val="4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87">
    <w:name w:val="Char Char2"/>
    <w:qFormat/>
    <w:uiPriority w:val="0"/>
    <w:rPr>
      <w:rFonts w:ascii="Arial" w:hAnsi="Arial" w:eastAsia="宋体" w:cs="Arial"/>
      <w:sz w:val="24"/>
      <w:szCs w:val="24"/>
      <w:lang w:val="en-US" w:eastAsia="zh-CN" w:bidi="ar-SA"/>
    </w:rPr>
  </w:style>
  <w:style w:type="character" w:customStyle="1" w:styleId="288">
    <w:name w:val="标题1"/>
    <w:qFormat/>
    <w:uiPriority w:val="0"/>
  </w:style>
  <w:style w:type="paragraph" w:customStyle="1" w:styleId="289">
    <w:name w:val="Char Char1"/>
    <w:basedOn w:val="1"/>
    <w:qFormat/>
    <w:uiPriority w:val="0"/>
    <w:pPr>
      <w:snapToGrid w:val="0"/>
      <w:spacing w:line="360" w:lineRule="auto"/>
      <w:ind w:firstLine="200"/>
    </w:pPr>
    <w:rPr>
      <w:rFonts w:eastAsia="仿宋_GB2312"/>
      <w:sz w:val="24"/>
    </w:rPr>
  </w:style>
  <w:style w:type="paragraph" w:customStyle="1" w:styleId="290">
    <w:name w:val="Char Char Char Char1 Char Char Char Char"/>
    <w:basedOn w:val="1"/>
    <w:qFormat/>
    <w:uiPriority w:val="0"/>
    <w:rPr>
      <w:sz w:val="24"/>
    </w:rPr>
  </w:style>
  <w:style w:type="paragraph" w:customStyle="1" w:styleId="291">
    <w:name w:val="Char Char1 Char"/>
    <w:basedOn w:val="1"/>
    <w:qFormat/>
    <w:uiPriority w:val="0"/>
    <w:rPr>
      <w:sz w:val="24"/>
    </w:rPr>
  </w:style>
  <w:style w:type="paragraph" w:customStyle="1" w:styleId="292">
    <w:name w:val="纯文本2"/>
    <w:basedOn w:val="1"/>
    <w:qFormat/>
    <w:uiPriority w:val="0"/>
    <w:pPr>
      <w:adjustRightInd w:val="0"/>
      <w:textAlignment w:val="baseline"/>
    </w:pPr>
    <w:rPr>
      <w:rFonts w:ascii="宋体" w:hAnsi="Courier New"/>
      <w:szCs w:val="20"/>
    </w:rPr>
  </w:style>
  <w:style w:type="paragraph" w:customStyle="1" w:styleId="293">
    <w:name w:val="Char Char1 Char Char Char Char Char Char Char Char Char Char Char Char Char Char Char Char Char Char Char Char1 Char"/>
    <w:basedOn w:val="1"/>
    <w:qFormat/>
    <w:uiPriority w:val="0"/>
    <w:pPr>
      <w:spacing w:line="360" w:lineRule="auto"/>
      <w:ind w:firstLine="200"/>
    </w:pPr>
    <w:rPr>
      <w:rFonts w:ascii="宋体" w:hAnsi="宋体" w:cs="宋体"/>
      <w:sz w:val="24"/>
    </w:rPr>
  </w:style>
  <w:style w:type="paragraph" w:customStyle="1" w:styleId="294">
    <w:name w:val="字元"/>
    <w:basedOn w:val="1"/>
    <w:qFormat/>
    <w:uiPriority w:val="0"/>
    <w:rPr>
      <w:sz w:val="24"/>
    </w:rPr>
  </w:style>
  <w:style w:type="paragraph" w:customStyle="1" w:styleId="295">
    <w:name w:val="Char Char Char Char Char Char Char Char Char Char Char"/>
    <w:basedOn w:val="1"/>
    <w:qFormat/>
    <w:uiPriority w:val="0"/>
    <w:pPr>
      <w:adjustRightInd w:val="0"/>
      <w:spacing w:line="360" w:lineRule="auto"/>
    </w:pPr>
    <w:rPr>
      <w:kern w:val="0"/>
      <w:sz w:val="24"/>
      <w:szCs w:val="20"/>
    </w:rPr>
  </w:style>
  <w:style w:type="paragraph" w:customStyle="1" w:styleId="296">
    <w:name w:val="Char Char Char Char Char Char"/>
    <w:basedOn w:val="1"/>
    <w:qFormat/>
    <w:uiPriority w:val="0"/>
    <w:rPr>
      <w:sz w:val="24"/>
    </w:rPr>
  </w:style>
  <w:style w:type="paragraph" w:customStyle="1" w:styleId="297">
    <w:name w:val="Char Char2 Char Char Char Char"/>
    <w:basedOn w:val="1"/>
    <w:qFormat/>
    <w:uiPriority w:val="0"/>
    <w:pPr>
      <w:spacing w:before="20" w:beforeLines="20" w:line="440" w:lineRule="atLeast"/>
      <w:ind w:firstLine="200"/>
    </w:pPr>
    <w:rPr>
      <w:sz w:val="24"/>
    </w:rPr>
  </w:style>
  <w:style w:type="paragraph" w:customStyle="1" w:styleId="298">
    <w:name w:val="Char1"/>
    <w:basedOn w:val="1"/>
    <w:qFormat/>
    <w:uiPriority w:val="0"/>
    <w:rPr>
      <w:spacing w:val="20"/>
      <w:sz w:val="28"/>
    </w:rPr>
  </w:style>
  <w:style w:type="paragraph" w:customStyle="1" w:styleId="299">
    <w:name w:val="Char Char Char"/>
    <w:basedOn w:val="1"/>
    <w:qFormat/>
    <w:uiPriority w:val="0"/>
    <w:pPr>
      <w:adjustRightInd w:val="0"/>
      <w:spacing w:line="360" w:lineRule="auto"/>
    </w:pPr>
    <w:rPr>
      <w:kern w:val="0"/>
      <w:sz w:val="24"/>
      <w:szCs w:val="20"/>
    </w:rPr>
  </w:style>
  <w:style w:type="paragraph" w:customStyle="1" w:styleId="300">
    <w:name w:val="Char1 Char Char Char Char Char Char Char Char Char Char Char Char Char Char Char Char Char"/>
    <w:basedOn w:val="1"/>
    <w:qFormat/>
    <w:uiPriority w:val="0"/>
    <w:rPr>
      <w:sz w:val="24"/>
    </w:rPr>
  </w:style>
  <w:style w:type="paragraph" w:customStyle="1" w:styleId="301">
    <w:name w:val="Char4 Char Char Char Char Char1 Char Char Char Char Char Char Char Char Char Char Char Char Char"/>
    <w:basedOn w:val="1"/>
    <w:qFormat/>
    <w:uiPriority w:val="0"/>
    <w:pPr>
      <w:spacing w:line="240" w:lineRule="exact"/>
      <w:ind w:firstLine="200"/>
    </w:pPr>
    <w:rPr>
      <w:szCs w:val="20"/>
    </w:rPr>
  </w:style>
  <w:style w:type="paragraph" w:customStyle="1" w:styleId="302">
    <w:name w:val="字元 字元"/>
    <w:basedOn w:val="1"/>
    <w:qFormat/>
    <w:uiPriority w:val="0"/>
    <w:rPr>
      <w:sz w:val="24"/>
    </w:rPr>
  </w:style>
  <w:style w:type="paragraph" w:customStyle="1" w:styleId="303">
    <w:name w:val="列出段落3"/>
    <w:basedOn w:val="1"/>
    <w:qFormat/>
    <w:uiPriority w:val="1"/>
    <w:pPr>
      <w:spacing w:before="1"/>
      <w:ind w:left="326" w:hanging="601"/>
    </w:pPr>
    <w:rPr>
      <w:rFonts w:ascii="宋体" w:hAnsi="宋体" w:cs="宋体"/>
      <w:lang w:val="zh-CN" w:bidi="zh-CN"/>
    </w:rPr>
  </w:style>
  <w:style w:type="paragraph" w:customStyle="1" w:styleId="304">
    <w:name w:val="Char2"/>
    <w:basedOn w:val="1"/>
    <w:qFormat/>
    <w:uiPriority w:val="0"/>
    <w:pPr>
      <w:snapToGrid w:val="0"/>
      <w:spacing w:line="360" w:lineRule="auto"/>
      <w:ind w:firstLine="200"/>
    </w:pPr>
    <w:rPr>
      <w:rFonts w:eastAsia="仿宋_GB2312"/>
      <w:sz w:val="24"/>
    </w:rPr>
  </w:style>
  <w:style w:type="paragraph" w:customStyle="1" w:styleId="305">
    <w:name w:val="价格变化趋"/>
    <w:basedOn w:val="1"/>
    <w:qFormat/>
    <w:uiPriority w:val="0"/>
    <w:pPr>
      <w:adjustRightInd w:val="0"/>
      <w:spacing w:line="315" w:lineRule="atLeast"/>
      <w:ind w:firstLine="601"/>
      <w:textAlignment w:val="baseline"/>
    </w:pPr>
    <w:rPr>
      <w:rFonts w:ascii="宋体"/>
      <w:spacing w:val="8"/>
      <w:szCs w:val="20"/>
    </w:rPr>
  </w:style>
  <w:style w:type="paragraph" w:customStyle="1" w:styleId="306">
    <w:name w:val="Char4 Char Char Char Char Char Char Char Char Char Char Char Char Char Char Char Char Char1 Char Char Char Char"/>
    <w:basedOn w:val="1"/>
    <w:qFormat/>
    <w:uiPriority w:val="0"/>
    <w:pPr>
      <w:spacing w:line="240" w:lineRule="exact"/>
      <w:ind w:firstLine="200"/>
    </w:pPr>
    <w:rPr>
      <w:sz w:val="28"/>
      <w:szCs w:val="28"/>
    </w:rPr>
  </w:style>
  <w:style w:type="paragraph" w:customStyle="1" w:styleId="307">
    <w:name w:val="引用1"/>
    <w:basedOn w:val="1"/>
    <w:next w:val="1"/>
    <w:qFormat/>
    <w:uiPriority w:val="99"/>
    <w:pPr>
      <w:spacing w:line="240" w:lineRule="auto"/>
      <w:jc w:val="center"/>
    </w:pPr>
    <w:rPr>
      <w:rFonts w:eastAsia="Times New Roman"/>
      <w:iCs/>
      <w:color w:val="000000"/>
    </w:rPr>
  </w:style>
  <w:style w:type="table" w:customStyle="1" w:styleId="308">
    <w:name w:val="Table Normal1"/>
    <w:unhideWhenUsed/>
    <w:qFormat/>
    <w:uiPriority w:val="0"/>
    <w:rPr>
      <w:lang w:val="en-US" w:eastAsia="zh-CN" w:bidi="ar-SA"/>
    </w:rPr>
    <w:tblPr>
      <w:tblCellMar>
        <w:top w:w="0" w:type="dxa"/>
        <w:left w:w="0" w:type="dxa"/>
        <w:bottom w:w="0" w:type="dxa"/>
        <w:right w:w="0" w:type="dxa"/>
      </w:tblCellMar>
    </w:tblPr>
  </w:style>
  <w:style w:type="character" w:customStyle="1" w:styleId="309">
    <w:name w:val="正文首行缩进 2 Char"/>
    <w:semiHidden/>
    <w:qFormat/>
    <w:uiPriority w:val="99"/>
    <w:rPr>
      <w:rFonts w:ascii="Times New Roman" w:hAnsi="Times New Roman" w:eastAsia="宋体" w:cs="Times New Roman"/>
      <w:szCs w:val="21"/>
    </w:rPr>
  </w:style>
  <w:style w:type="character" w:customStyle="1" w:styleId="310">
    <w:name w:val="标题 4 字符"/>
    <w:qFormat/>
    <w:uiPriority w:val="0"/>
    <w:rPr>
      <w:rFonts w:ascii="等线 Light" w:hAnsi="等线 Light" w:eastAsia="等线 Light" w:cs="Times New Roman"/>
      <w:b/>
      <w:bCs/>
      <w:sz w:val="28"/>
      <w:szCs w:val="28"/>
    </w:rPr>
  </w:style>
  <w:style w:type="character" w:customStyle="1" w:styleId="311">
    <w:name w:val="标题 5 字符"/>
    <w:qFormat/>
    <w:uiPriority w:val="0"/>
    <w:rPr>
      <w:b/>
      <w:bCs/>
      <w:sz w:val="28"/>
      <w:szCs w:val="28"/>
    </w:rPr>
  </w:style>
  <w:style w:type="character" w:customStyle="1" w:styleId="312">
    <w:name w:val="标题 6 字符"/>
    <w:qFormat/>
    <w:uiPriority w:val="0"/>
    <w:rPr>
      <w:rFonts w:ascii="等线 Light" w:hAnsi="等线 Light" w:eastAsia="等线 Light" w:cs="Times New Roman"/>
      <w:b/>
      <w:bCs/>
      <w:sz w:val="24"/>
      <w:szCs w:val="24"/>
    </w:rPr>
  </w:style>
  <w:style w:type="character" w:customStyle="1" w:styleId="313">
    <w:name w:val="标题 7 字符"/>
    <w:qFormat/>
    <w:uiPriority w:val="0"/>
    <w:rPr>
      <w:b/>
      <w:bCs/>
      <w:sz w:val="24"/>
      <w:szCs w:val="24"/>
    </w:rPr>
  </w:style>
  <w:style w:type="character" w:customStyle="1" w:styleId="314">
    <w:name w:val="标题 8 字符"/>
    <w:qFormat/>
    <w:uiPriority w:val="0"/>
    <w:rPr>
      <w:rFonts w:ascii="等线 Light" w:hAnsi="等线 Light" w:eastAsia="等线 Light" w:cs="Times New Roman"/>
      <w:sz w:val="24"/>
      <w:szCs w:val="24"/>
    </w:rPr>
  </w:style>
  <w:style w:type="character" w:customStyle="1" w:styleId="315">
    <w:name w:val="标题 9 字符"/>
    <w:qFormat/>
    <w:uiPriority w:val="0"/>
    <w:rPr>
      <w:rFonts w:ascii="等线 Light" w:hAnsi="等线 Light" w:eastAsia="等线 Light" w:cs="Times New Roman"/>
      <w:sz w:val="24"/>
      <w:szCs w:val="21"/>
    </w:rPr>
  </w:style>
  <w:style w:type="character" w:customStyle="1" w:styleId="316">
    <w:name w:val="页眉 字符"/>
    <w:qFormat/>
    <w:uiPriority w:val="0"/>
    <w:rPr>
      <w:sz w:val="18"/>
      <w:szCs w:val="18"/>
    </w:rPr>
  </w:style>
  <w:style w:type="character" w:customStyle="1" w:styleId="317">
    <w:name w:val="页脚 字符"/>
    <w:qFormat/>
    <w:uiPriority w:val="0"/>
    <w:rPr>
      <w:sz w:val="18"/>
      <w:szCs w:val="18"/>
    </w:rPr>
  </w:style>
  <w:style w:type="character" w:customStyle="1" w:styleId="318">
    <w:name w:val="纯文本 字符"/>
    <w:qFormat/>
    <w:uiPriority w:val="0"/>
    <w:rPr>
      <w:rFonts w:ascii="等线" w:hAnsi="Courier New" w:cs="Courier New"/>
      <w:sz w:val="24"/>
    </w:rPr>
  </w:style>
  <w:style w:type="character" w:customStyle="1" w:styleId="319">
    <w:name w:val="文档结构图 字符"/>
    <w:semiHidden/>
    <w:qFormat/>
    <w:uiPriority w:val="0"/>
    <w:rPr>
      <w:rFonts w:ascii="Microsoft YaHei UI" w:eastAsia="Microsoft YaHei UI"/>
      <w:sz w:val="18"/>
      <w:szCs w:val="18"/>
    </w:rPr>
  </w:style>
  <w:style w:type="character" w:customStyle="1" w:styleId="320">
    <w:name w:val="批注文字 字符"/>
    <w:basedOn w:val="46"/>
    <w:qFormat/>
    <w:uiPriority w:val="0"/>
  </w:style>
  <w:style w:type="character" w:customStyle="1" w:styleId="321">
    <w:name w:val="正文文本 3 字符"/>
    <w:qFormat/>
    <w:uiPriority w:val="0"/>
    <w:rPr>
      <w:sz w:val="16"/>
      <w:szCs w:val="16"/>
    </w:rPr>
  </w:style>
  <w:style w:type="character" w:customStyle="1" w:styleId="322">
    <w:name w:val="日期 字符"/>
    <w:basedOn w:val="46"/>
    <w:qFormat/>
    <w:uiPriority w:val="0"/>
  </w:style>
  <w:style w:type="character" w:customStyle="1" w:styleId="323">
    <w:name w:val="正文文本缩进 2 字符"/>
    <w:basedOn w:val="46"/>
    <w:qFormat/>
    <w:uiPriority w:val="0"/>
  </w:style>
  <w:style w:type="character" w:customStyle="1" w:styleId="324">
    <w:name w:val="副标题 字符"/>
    <w:qFormat/>
    <w:uiPriority w:val="0"/>
    <w:rPr>
      <w:b/>
      <w:bCs/>
      <w:kern w:val="28"/>
      <w:sz w:val="32"/>
      <w:szCs w:val="32"/>
    </w:rPr>
  </w:style>
  <w:style w:type="character" w:customStyle="1" w:styleId="325">
    <w:name w:val="正文文本 2 字符"/>
    <w:basedOn w:val="46"/>
    <w:qFormat/>
    <w:uiPriority w:val="0"/>
  </w:style>
  <w:style w:type="character" w:customStyle="1" w:styleId="326">
    <w:name w:val="正文文本首行缩进 字符"/>
    <w:qFormat/>
    <w:uiPriority w:val="0"/>
    <w:rPr>
      <w:rFonts w:ascii="Times New Roman" w:hAnsi="Times New Roman" w:eastAsia="宋体" w:cs="Times New Roman"/>
      <w:kern w:val="2"/>
      <w:sz w:val="21"/>
      <w:szCs w:val="21"/>
      <w:lang w:val="en-US" w:eastAsia="zh-CN" w:bidi="ar-SA"/>
    </w:rPr>
  </w:style>
  <w:style w:type="character" w:customStyle="1" w:styleId="327">
    <w:name w:val="正文文本首行缩进 2 字符1"/>
    <w:semiHidden/>
    <w:qFormat/>
    <w:uiPriority w:val="99"/>
    <w:rPr>
      <w:rFonts w:ascii="楷体_GB2312" w:hAnsi="Times New Roman" w:eastAsia="楷体_GB2312" w:cs="Times New Roman"/>
      <w:kern w:val="2"/>
      <w:sz w:val="21"/>
      <w:szCs w:val="21"/>
      <w:lang w:val="en-US" w:eastAsia="zh-CN" w:bidi="ar-SA"/>
    </w:rPr>
  </w:style>
  <w:style w:type="character" w:customStyle="1" w:styleId="328">
    <w:name w:val="正文文本首行缩进 2 字符2"/>
    <w:semiHidden/>
    <w:qFormat/>
    <w:uiPriority w:val="99"/>
    <w:rPr>
      <w:rFonts w:ascii="楷体_GB2312" w:hAnsi="Times New Roman" w:eastAsia="楷体_GB2312" w:cs="Times New Roman"/>
      <w:kern w:val="2"/>
      <w:sz w:val="21"/>
      <w:szCs w:val="21"/>
      <w:lang w:val="en-US" w:eastAsia="zh-CN" w:bidi="ar-SA"/>
    </w:rPr>
  </w:style>
  <w:style w:type="character" w:customStyle="1" w:styleId="329">
    <w:name w:val="正文文本首行缩进 字符1"/>
    <w:semiHidden/>
    <w:qFormat/>
    <w:uiPriority w:val="99"/>
    <w:rPr>
      <w:rFonts w:ascii="Times New Roman" w:hAnsi="Times New Roman" w:eastAsia="宋体" w:cs="Times New Roman"/>
      <w:kern w:val="2"/>
      <w:sz w:val="21"/>
      <w:szCs w:val="21"/>
      <w:lang w:val="en-US" w:eastAsia="zh-CN" w:bidi="ar-SA"/>
    </w:rPr>
  </w:style>
  <w:style w:type="character" w:customStyle="1" w:styleId="330">
    <w:name w:val="正文文本首行缩进 2 字符3"/>
    <w:semiHidden/>
    <w:qFormat/>
    <w:uiPriority w:val="99"/>
    <w:rPr>
      <w:rFonts w:ascii="楷体_GB2312" w:hAnsi="Times New Roman" w:eastAsia="楷体_GB2312" w:cs="Times New Roman"/>
      <w:kern w:val="2"/>
      <w:sz w:val="21"/>
      <w:szCs w:val="21"/>
      <w:lang w:val="en-US" w:eastAsia="zh-CN" w:bidi="ar-SA"/>
    </w:rPr>
  </w:style>
  <w:style w:type="character" w:customStyle="1" w:styleId="331">
    <w:name w:val="正文文本首行缩进 字符2"/>
    <w:semiHidden/>
    <w:qFormat/>
    <w:uiPriority w:val="99"/>
    <w:rPr>
      <w:rFonts w:ascii="Times New Roman" w:hAnsi="Times New Roman" w:eastAsia="宋体" w:cs="Times New Roman"/>
      <w:kern w:val="2"/>
      <w:sz w:val="21"/>
      <w:szCs w:val="21"/>
      <w:lang w:val="en-US" w:eastAsia="zh-CN" w:bidi="ar-SA"/>
    </w:rPr>
  </w:style>
  <w:style w:type="paragraph" w:customStyle="1" w:styleId="332">
    <w:name w:val="表格字体"/>
    <w:next w:val="1"/>
    <w:qFormat/>
    <w:uiPriority w:val="0"/>
    <w:pPr>
      <w:adjustRightInd w:val="0"/>
      <w:snapToGrid w:val="0"/>
      <w:spacing w:before="20" w:beforeLines="20" w:after="20" w:afterLines="20"/>
      <w:ind w:right="2" w:rightChars="1"/>
      <w:jc w:val="center"/>
    </w:pPr>
    <w:rPr>
      <w:rFonts w:ascii="Times New Roman" w:hAnsi="Times New Roman" w:eastAsia="宋体" w:cs="Times New Roman"/>
      <w:bCs/>
      <w:sz w:val="21"/>
      <w:szCs w:val="21"/>
      <w:lang w:val="zh-CN" w:eastAsia="zh-CN" w:bidi="ar-SA"/>
    </w:rPr>
  </w:style>
  <w:style w:type="paragraph" w:customStyle="1" w:styleId="333">
    <w:name w:val="表、图标题"/>
    <w:next w:val="1"/>
    <w:qFormat/>
    <w:uiPriority w:val="0"/>
    <w:pPr>
      <w:spacing w:before="60"/>
      <w:jc w:val="center"/>
    </w:pPr>
    <w:rPr>
      <w:rFonts w:ascii="Times New Roman" w:hAnsi="Times New Roman" w:eastAsia="宋体" w:cs="Times New Roman"/>
      <w:b/>
      <w:kern w:val="2"/>
      <w:sz w:val="24"/>
      <w:szCs w:val="24"/>
      <w:lang w:val="en-US" w:eastAsia="zh-CN" w:bidi="ar-SA"/>
    </w:rPr>
  </w:style>
  <w:style w:type="character" w:customStyle="1" w:styleId="334">
    <w:name w:val="批注文字 字符2"/>
    <w:qFormat/>
    <w:uiPriority w:val="0"/>
    <w:rPr>
      <w:kern w:val="2"/>
      <w:sz w:val="21"/>
      <w:szCs w:val="21"/>
    </w:rPr>
  </w:style>
  <w:style w:type="character" w:customStyle="1" w:styleId="335">
    <w:name w:val="正文文本首行缩进 字符3"/>
    <w:semiHidden/>
    <w:qFormat/>
    <w:uiPriority w:val="99"/>
    <w:rPr>
      <w:rFonts w:eastAsia="宋体"/>
      <w:kern w:val="2"/>
      <w:sz w:val="21"/>
      <w:szCs w:val="21"/>
      <w:lang w:val="en-US" w:eastAsia="zh-CN" w:bidi="ar-SA"/>
    </w:rPr>
  </w:style>
  <w:style w:type="character" w:customStyle="1" w:styleId="336">
    <w:name w:val="正文文本首行缩进 2 字符4"/>
    <w:semiHidden/>
    <w:qFormat/>
    <w:uiPriority w:val="99"/>
    <w:rPr>
      <w:rFonts w:ascii="楷体_GB2312" w:eastAsia="楷体_GB2312"/>
      <w:kern w:val="2"/>
      <w:sz w:val="21"/>
      <w:szCs w:val="21"/>
      <w:lang w:val="en-US" w:eastAsia="zh-CN" w:bidi="ar-SA"/>
    </w:rPr>
  </w:style>
  <w:style w:type="character" w:customStyle="1" w:styleId="337">
    <w:name w:val="正文文本首行缩进 字符4"/>
    <w:semiHidden/>
    <w:qFormat/>
    <w:uiPriority w:val="99"/>
    <w:rPr>
      <w:rFonts w:eastAsia="宋体"/>
      <w:kern w:val="2"/>
      <w:sz w:val="21"/>
      <w:szCs w:val="21"/>
      <w:lang w:val="en-US" w:eastAsia="zh-CN" w:bidi="ar-SA"/>
    </w:rPr>
  </w:style>
  <w:style w:type="character" w:customStyle="1" w:styleId="338">
    <w:name w:val="正文文本首行缩进 2 字符5"/>
    <w:semiHidden/>
    <w:qFormat/>
    <w:uiPriority w:val="99"/>
    <w:rPr>
      <w:rFonts w:ascii="楷体_GB2312" w:eastAsia="楷体_GB2312"/>
      <w:kern w:val="2"/>
      <w:sz w:val="21"/>
      <w:szCs w:val="21"/>
      <w:lang w:val="en-US" w:eastAsia="zh-CN" w:bidi="ar-SA"/>
    </w:rPr>
  </w:style>
  <w:style w:type="paragraph" w:customStyle="1" w:styleId="339">
    <w:name w:val="_Style 338"/>
    <w:unhideWhenUsed/>
    <w:qFormat/>
    <w:uiPriority w:val="99"/>
    <w:rPr>
      <w:rFonts w:ascii="Times New Roman" w:hAnsi="Times New Roman" w:eastAsia="宋体" w:cs="Times New Roman"/>
      <w:kern w:val="2"/>
      <w:sz w:val="21"/>
      <w:szCs w:val="21"/>
      <w:lang w:val="en-US" w:eastAsia="zh-CN" w:bidi="ar-SA"/>
    </w:rPr>
  </w:style>
  <w:style w:type="paragraph" w:customStyle="1" w:styleId="340">
    <w:name w:val="msonormal"/>
    <w:basedOn w:val="1"/>
    <w:qFormat/>
    <w:uiPriority w:val="0"/>
    <w:pPr>
      <w:widowControl/>
      <w:spacing w:before="100" w:beforeAutospacing="1" w:after="100" w:afterAutospacing="1" w:line="240" w:lineRule="auto"/>
      <w:ind w:firstLine="0" w:firstLineChars="0"/>
      <w:jc w:val="left"/>
    </w:pPr>
    <w:rPr>
      <w:rFonts w:ascii="宋体" w:hAnsi="宋体" w:cs="宋体"/>
      <w:kern w:val="0"/>
      <w:sz w:val="24"/>
      <w:szCs w:val="24"/>
    </w:rPr>
  </w:style>
  <w:style w:type="paragraph" w:customStyle="1" w:styleId="341">
    <w:name w:val="font5"/>
    <w:basedOn w:val="1"/>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342">
    <w:name w:val="font6"/>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 w:val="18"/>
      <w:szCs w:val="18"/>
    </w:rPr>
  </w:style>
  <w:style w:type="paragraph" w:customStyle="1" w:styleId="343">
    <w:name w:val="font7"/>
    <w:basedOn w:val="1"/>
    <w:qFormat/>
    <w:uiPriority w:val="0"/>
    <w:pPr>
      <w:widowControl/>
      <w:spacing w:before="100" w:beforeAutospacing="1" w:after="100" w:afterAutospacing="1" w:line="240" w:lineRule="auto"/>
      <w:ind w:firstLine="0" w:firstLineChars="0"/>
      <w:jc w:val="left"/>
    </w:pPr>
    <w:rPr>
      <w:color w:val="000000"/>
      <w:kern w:val="0"/>
      <w:sz w:val="18"/>
      <w:szCs w:val="18"/>
    </w:rPr>
  </w:style>
  <w:style w:type="paragraph" w:customStyle="1" w:styleId="344">
    <w:name w:val="font8"/>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 w:val="18"/>
      <w:szCs w:val="18"/>
    </w:rPr>
  </w:style>
  <w:style w:type="paragraph" w:customStyle="1" w:styleId="34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4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47">
    <w:name w:val="xl67"/>
    <w:basedOn w:val="1"/>
    <w:qFormat/>
    <w:uiPriority w:val="0"/>
    <w:pPr>
      <w:widowControl/>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48">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49">
    <w:name w:val="xl7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50">
    <w:name w:val="xl7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pPr>
    <w:rPr>
      <w:rFonts w:ascii="宋体" w:hAnsi="宋体" w:cs="宋体"/>
      <w:kern w:val="0"/>
      <w:sz w:val="24"/>
      <w:szCs w:val="24"/>
    </w:rPr>
  </w:style>
  <w:style w:type="paragraph" w:customStyle="1" w:styleId="351">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rFonts w:ascii="微软雅黑" w:hAnsi="微软雅黑" w:eastAsia="微软雅黑" w:cs="宋体"/>
      <w:color w:val="000000"/>
      <w:kern w:val="0"/>
      <w:sz w:val="18"/>
      <w:szCs w:val="18"/>
    </w:rPr>
  </w:style>
  <w:style w:type="paragraph" w:customStyle="1" w:styleId="352">
    <w:name w:val="xl73"/>
    <w:basedOn w:val="1"/>
    <w:qFormat/>
    <w:uiPriority w:val="0"/>
    <w:pPr>
      <w:widowControl/>
      <w:spacing w:before="100" w:beforeAutospacing="1" w:after="100" w:afterAutospacing="1" w:line="240" w:lineRule="auto"/>
      <w:ind w:firstLine="0" w:firstLineChars="0"/>
      <w:jc w:val="left"/>
    </w:pPr>
    <w:rPr>
      <w:rFonts w:ascii="宋体" w:hAnsi="宋体" w:cs="宋体"/>
      <w:color w:val="FF0000"/>
      <w:kern w:val="0"/>
      <w:sz w:val="24"/>
      <w:szCs w:val="24"/>
    </w:rPr>
  </w:style>
  <w:style w:type="paragraph" w:customStyle="1" w:styleId="353">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color w:val="FF0000"/>
      <w:kern w:val="0"/>
      <w:sz w:val="18"/>
      <w:szCs w:val="18"/>
    </w:rPr>
  </w:style>
  <w:style w:type="paragraph" w:customStyle="1" w:styleId="354">
    <w:name w:val="xl75"/>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55">
    <w:name w:val="xl76"/>
    <w:basedOn w:val="1"/>
    <w:qFormat/>
    <w:uiPriority w:val="0"/>
    <w:pPr>
      <w:widowControl/>
      <w:pBdr>
        <w:left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56">
    <w:name w:val="xl77"/>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57">
    <w:name w:val="xl78"/>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58">
    <w:name w:val="xl79"/>
    <w:basedOn w:val="1"/>
    <w:qFormat/>
    <w:uiPriority w:val="0"/>
    <w:pPr>
      <w:widowControl/>
      <w:pBdr>
        <w:left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59">
    <w:name w:val="xl80"/>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60">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kern w:val="0"/>
      <w:sz w:val="24"/>
      <w:szCs w:val="24"/>
    </w:rPr>
  </w:style>
  <w:style w:type="paragraph" w:customStyle="1" w:styleId="361">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4"/>
      <w:szCs w:val="24"/>
    </w:rPr>
  </w:style>
  <w:style w:type="paragraph" w:customStyle="1" w:styleId="362">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63">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firstLineChars="0"/>
      <w:jc w:val="center"/>
      <w:textAlignment w:val="center"/>
    </w:pPr>
    <w:rPr>
      <w:color w:val="000000"/>
      <w:kern w:val="0"/>
      <w:sz w:val="18"/>
      <w:szCs w:val="18"/>
    </w:rPr>
  </w:style>
  <w:style w:type="paragraph" w:customStyle="1" w:styleId="364">
    <w:name w:val="xl85"/>
    <w:basedOn w:val="1"/>
    <w:qFormat/>
    <w:uiPriority w:val="0"/>
    <w:pPr>
      <w:widowControl/>
      <w:pBdr>
        <w:top w:val="single" w:color="000000" w:sz="12" w:space="0"/>
        <w:bottom w:val="single" w:color="000000" w:sz="8"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65">
    <w:name w:val="xl86"/>
    <w:basedOn w:val="1"/>
    <w:qFormat/>
    <w:uiPriority w:val="0"/>
    <w:pPr>
      <w:widowControl/>
      <w:pBdr>
        <w:bottom w:val="single" w:color="000000" w:sz="8"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66">
    <w:name w:val="xl87"/>
    <w:basedOn w:val="1"/>
    <w:qFormat/>
    <w:uiPriority w:val="0"/>
    <w:pPr>
      <w:widowControl/>
      <w:pBdr>
        <w:bottom w:val="single" w:color="000000" w:sz="12"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67">
    <w:name w:val="xl88"/>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color w:val="000000"/>
      <w:kern w:val="0"/>
      <w:sz w:val="18"/>
      <w:szCs w:val="18"/>
    </w:rPr>
  </w:style>
  <w:style w:type="paragraph" w:customStyle="1" w:styleId="368">
    <w:name w:val="xl89"/>
    <w:basedOn w:val="1"/>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4"/>
      <w:szCs w:val="24"/>
    </w:rPr>
  </w:style>
  <w:style w:type="paragraph" w:customStyle="1" w:styleId="369">
    <w:name w:val="xl9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cs="宋体"/>
      <w:kern w:val="0"/>
      <w:sz w:val="24"/>
      <w:szCs w:val="24"/>
    </w:rPr>
  </w:style>
  <w:style w:type="character" w:customStyle="1" w:styleId="370">
    <w:name w:val="cf01"/>
    <w:qFormat/>
    <w:uiPriority w:val="0"/>
    <w:rPr>
      <w:rFonts w:hint="eastAsia" w:ascii="Microsoft YaHei UI" w:hAnsi="Microsoft YaHei UI" w:eastAsia="Microsoft YaHei UI"/>
      <w:sz w:val="18"/>
      <w:szCs w:val="18"/>
    </w:rPr>
  </w:style>
  <w:style w:type="paragraph" w:customStyle="1" w:styleId="371">
    <w:name w:val="正文首行缩进 2 + Times New Roman"/>
    <w:basedOn w:val="1"/>
    <w:qFormat/>
    <w:uiPriority w:val="0"/>
    <w:pPr>
      <w:tabs>
        <w:tab w:val="left" w:pos="0"/>
        <w:tab w:val="left" w:pos="870"/>
        <w:tab w:val="left" w:pos="3150"/>
      </w:tabs>
      <w:autoSpaceDE w:val="0"/>
      <w:autoSpaceDN w:val="0"/>
      <w:adjustRightInd w:val="0"/>
      <w:snapToGrid w:val="0"/>
      <w:spacing w:line="360" w:lineRule="auto"/>
      <w:ind w:firstLine="200"/>
    </w:pPr>
    <w:rPr>
      <w:snapToGrid w:val="0"/>
      <w:kern w:val="0"/>
      <w:sz w:val="24"/>
      <w:szCs w:val="24"/>
    </w:rPr>
  </w:style>
  <w:style w:type="character" w:customStyle="1" w:styleId="372">
    <w:name w:val="17"/>
    <w:qFormat/>
    <w:uiPriority w:val="0"/>
    <w:rPr>
      <w:rFonts w:hint="default" w:ascii="Times New Roman" w:hAnsi="Times New Roman" w:cs="Times New Roman"/>
      <w:color w:val="000000"/>
      <w:sz w:val="24"/>
      <w:szCs w:val="24"/>
    </w:rPr>
  </w:style>
  <w:style w:type="character" w:customStyle="1" w:styleId="373">
    <w:name w:val="18"/>
    <w:qFormat/>
    <w:uiPriority w:val="0"/>
    <w:rPr>
      <w:rFonts w:hint="default" w:ascii="Times New Roman" w:hAnsi="Times New Roman" w:cs="Times New Roman"/>
      <w:color w:val="000000"/>
      <w:sz w:val="16"/>
      <w:szCs w:val="16"/>
    </w:rPr>
  </w:style>
  <w:style w:type="character" w:customStyle="1" w:styleId="374">
    <w:name w:val="19"/>
    <w:qFormat/>
    <w:uiPriority w:val="0"/>
    <w:rPr>
      <w:rFonts w:hint="eastAsia" w:ascii="宋体" w:hAnsi="宋体" w:eastAsia="宋体"/>
      <w:color w:val="000000"/>
      <w:sz w:val="23"/>
      <w:szCs w:val="23"/>
    </w:rPr>
  </w:style>
  <w:style w:type="paragraph" w:customStyle="1" w:styleId="375">
    <w:name w:val="p0"/>
    <w:basedOn w:val="1"/>
    <w:qFormat/>
    <w:uiPriority w:val="0"/>
    <w:pPr>
      <w:widowControl/>
      <w:snapToGrid w:val="0"/>
      <w:spacing w:line="300" w:lineRule="auto"/>
    </w:pPr>
    <w:rPr>
      <w:rFonts w:ascii="仿宋_GB2312" w:hAnsi="宋体" w:eastAsia="仿宋_GB2312" w:cs="宋体"/>
      <w:kern w:val="0"/>
      <w:sz w:val="28"/>
      <w:szCs w:val="28"/>
    </w:rPr>
  </w:style>
  <w:style w:type="character" w:customStyle="1" w:styleId="376">
    <w:name w:val="font51"/>
    <w:basedOn w:val="46"/>
    <w:qFormat/>
    <w:uiPriority w:val="0"/>
    <w:rPr>
      <w:rFonts w:hint="default" w:ascii="Times New Roman" w:hAnsi="Times New Roman" w:cs="Times New Roman"/>
      <w:color w:val="000000"/>
      <w:sz w:val="18"/>
      <w:szCs w:val="18"/>
      <w:u w:val="none"/>
      <w:vertAlign w:val="subscript"/>
    </w:rPr>
  </w:style>
  <w:style w:type="paragraph" w:customStyle="1" w:styleId="377">
    <w:name w:val="Table Text"/>
    <w:basedOn w:val="1"/>
    <w:semiHidden/>
    <w:qFormat/>
    <w:uiPriority w:val="0"/>
    <w:rPr>
      <w:rFonts w:ascii="宋体" w:hAnsi="宋体" w:eastAsia="宋体" w:cs="宋体"/>
      <w:sz w:val="21"/>
      <w:szCs w:val="21"/>
      <w:lang w:val="en-US" w:eastAsia="en-US" w:bidi="ar-SA"/>
    </w:rPr>
  </w:style>
  <w:style w:type="paragraph" w:customStyle="1" w:styleId="378">
    <w:name w:val="顺源 表头"/>
    <w:basedOn w:val="1"/>
    <w:qFormat/>
    <w:uiPriority w:val="0"/>
    <w:pPr>
      <w:jc w:val="center"/>
    </w:pPr>
    <w:rPr>
      <w:rFonts w:cs="微软雅黑"/>
      <w:b/>
      <w:color w:val="000000"/>
      <w:sz w:val="24"/>
      <w:szCs w:val="22"/>
    </w:rPr>
  </w:style>
  <w:style w:type="paragraph" w:customStyle="1" w:styleId="379">
    <w:name w:val="陈表格"/>
    <w:basedOn w:val="1"/>
    <w:qFormat/>
    <w:uiPriority w:val="0"/>
    <w:pPr>
      <w:adjustRightInd w:val="0"/>
      <w:snapToGrid w:val="0"/>
      <w:spacing w:line="240" w:lineRule="auto"/>
      <w:ind w:firstLine="0" w:firstLineChars="0"/>
      <w:jc w:val="center"/>
    </w:pPr>
    <w:rPr>
      <w:kern w:val="0"/>
      <w:sz w:val="21"/>
      <w:szCs w:val="20"/>
    </w:rPr>
  </w:style>
  <w:style w:type="paragraph" w:customStyle="1" w:styleId="380">
    <w:name w:val="报告表内表格"/>
    <w:basedOn w:val="1"/>
    <w:qFormat/>
    <w:uiPriority w:val="0"/>
    <w:pPr>
      <w:autoSpaceDE w:val="0"/>
      <w:autoSpaceDN w:val="0"/>
      <w:adjustRightInd w:val="0"/>
      <w:snapToGrid w:val="0"/>
      <w:spacing w:line="360" w:lineRule="auto"/>
      <w:jc w:val="center"/>
    </w:pPr>
    <w:rPr>
      <w:bCs/>
      <w:spacing w:val="5"/>
      <w:kern w:val="0"/>
      <w:sz w:val="20"/>
      <w:szCs w:val="21"/>
    </w:rPr>
  </w:style>
  <w:style w:type="paragraph" w:customStyle="1" w:styleId="381">
    <w:name w:val="1111 表格内容"/>
    <w:basedOn w:val="382"/>
    <w:qFormat/>
    <w:uiPriority w:val="0"/>
    <w:pPr>
      <w:widowControl w:val="0"/>
    </w:pPr>
    <w:rPr>
      <w:rFonts w:cs="Times New Roman"/>
    </w:rPr>
  </w:style>
  <w:style w:type="paragraph" w:customStyle="1" w:styleId="382">
    <w:name w:val="01表格正文"/>
    <w:qFormat/>
    <w:uiPriority w:val="0"/>
    <w:pPr>
      <w:adjustRightInd w:val="0"/>
      <w:snapToGrid w:val="0"/>
      <w:spacing w:line="320" w:lineRule="exact"/>
      <w:jc w:val="center"/>
    </w:pPr>
    <w:rPr>
      <w:rFonts w:ascii="Times New Roman" w:hAnsi="Times New Roman" w:eastAsia="宋体" w:cs="Times New Roman"/>
      <w:kern w:val="2"/>
      <w:sz w:val="21"/>
      <w:szCs w:val="21"/>
      <w:lang w:val="en-US" w:eastAsia="zh-CN" w:bidi="ar-SA"/>
    </w:rPr>
  </w:style>
  <w:style w:type="paragraph" w:customStyle="1" w:styleId="383">
    <w:name w:val="报告表正文"/>
    <w:basedOn w:val="384"/>
    <w:qFormat/>
    <w:uiPriority w:val="0"/>
    <w:pPr>
      <w:ind w:firstLine="200" w:firstLineChars="200"/>
      <w:jc w:val="left"/>
    </w:pPr>
    <w:rPr>
      <w:rFonts w:ascii="Times New Roman" w:hAnsi="Times New Roman"/>
      <w:szCs w:val="24"/>
    </w:rPr>
  </w:style>
  <w:style w:type="paragraph" w:customStyle="1" w:styleId="384">
    <w:name w:val="列表1"/>
    <w:basedOn w:val="1"/>
    <w:qFormat/>
    <w:uiPriority w:val="0"/>
    <w:pPr>
      <w:spacing w:line="400" w:lineRule="exact"/>
      <w:jc w:val="center"/>
    </w:pPr>
    <w:rPr>
      <w:rFonts w:ascii="宋体" w:hAnsi="宋体" w:eastAsia="仿宋_GB2312"/>
      <w:sz w:val="24"/>
      <w:szCs w:val="20"/>
    </w:rPr>
  </w:style>
  <w:style w:type="paragraph" w:customStyle="1" w:styleId="385">
    <w:name w:val="Z嵌套表格内容"/>
    <w:basedOn w:val="1"/>
    <w:qFormat/>
    <w:uiPriority w:val="0"/>
    <w:pPr>
      <w:jc w:val="center"/>
    </w:pPr>
  </w:style>
  <w:style w:type="paragraph" w:customStyle="1" w:styleId="386">
    <w:name w:val="表内lcc"/>
    <w:basedOn w:val="387"/>
    <w:qFormat/>
    <w:uiPriority w:val="0"/>
    <w:rPr>
      <w:color w:val="000000"/>
    </w:rPr>
  </w:style>
  <w:style w:type="paragraph" w:customStyle="1" w:styleId="387">
    <w:name w:val="表内字"/>
    <w:basedOn w:val="1"/>
    <w:qFormat/>
    <w:uiPriority w:val="0"/>
    <w:pPr>
      <w:adjustRightInd w:val="0"/>
      <w:jc w:val="center"/>
    </w:pPr>
    <w:rPr>
      <w:iCs/>
      <w:szCs w:val="21"/>
    </w:rPr>
  </w:style>
  <w:style w:type="paragraph" w:customStyle="1" w:styleId="388">
    <w:name w:val="表"/>
    <w:basedOn w:val="1"/>
    <w:qFormat/>
    <w:uiPriority w:val="0"/>
    <w:pPr>
      <w:keepNext/>
      <w:keepLines/>
      <w:adjustRightInd w:val="0"/>
      <w:spacing w:before="60"/>
      <w:jc w:val="center"/>
    </w:pPr>
    <w:rPr>
      <w:rFonts w:ascii="Calibri" w:hAnsi="Calibri" w:eastAsia="仿宋_GB2312"/>
      <w:kern w:val="21"/>
      <w:sz w:val="24"/>
      <w:szCs w:val="20"/>
    </w:rPr>
  </w:style>
  <w:style w:type="paragraph" w:customStyle="1" w:styleId="389">
    <w:name w:val="1正文"/>
    <w:basedOn w:val="186"/>
    <w:qFormat/>
    <w:uiPriority w:val="99"/>
    <w:pPr>
      <w:autoSpaceDE w:val="0"/>
      <w:autoSpaceDN w:val="0"/>
      <w:adjustRightInd w:val="0"/>
      <w:snapToGrid w:val="0"/>
      <w:spacing w:before="25" w:beforeLines="25" w:after="25" w:afterLines="25" w:line="360" w:lineRule="auto"/>
      <w:ind w:firstLine="200" w:firstLineChars="200"/>
    </w:pPr>
    <w:rPr>
      <w:rFonts w:eastAsia="仿宋"/>
      <w:spacing w:val="5"/>
      <w:kern w:val="0"/>
      <w:sz w:val="24"/>
      <w:szCs w:val="21"/>
    </w:rPr>
  </w:style>
  <w:style w:type="paragraph" w:customStyle="1" w:styleId="390">
    <w:name w:val="表格 首行文字"/>
    <w:qFormat/>
    <w:uiPriority w:val="0"/>
    <w:pPr>
      <w:adjustRightInd w:val="0"/>
      <w:snapToGrid w:val="0"/>
      <w:jc w:val="center"/>
    </w:pPr>
    <w:rPr>
      <w:rFonts w:ascii="Times New Roman" w:hAnsi="Times New Roman" w:eastAsia="仿宋_GB2312" w:cs="Times New Roman"/>
      <w:b/>
      <w:kern w:val="2"/>
      <w:sz w:val="21"/>
      <w:szCs w:val="22"/>
      <w:lang w:val="en-US" w:eastAsia="zh-CN" w:bidi="ar-SA"/>
    </w:rPr>
  </w:style>
  <w:style w:type="paragraph" w:customStyle="1" w:styleId="391">
    <w:name w:val="D正文"/>
    <w:basedOn w:val="392"/>
    <w:qFormat/>
    <w:uiPriority w:val="0"/>
    <w:pPr>
      <w:spacing w:line="360" w:lineRule="auto"/>
      <w:ind w:firstLine="480"/>
      <w:jc w:val="both"/>
    </w:pPr>
    <w:rPr>
      <w:rFonts w:hAnsi="宋体"/>
      <w:kern w:val="2"/>
      <w:szCs w:val="24"/>
    </w:rPr>
  </w:style>
  <w:style w:type="paragraph" w:customStyle="1" w:styleId="392">
    <w:name w:val="正文对的"/>
    <w:basedOn w:val="22"/>
    <w:qFormat/>
    <w:uiPriority w:val="0"/>
    <w:pPr>
      <w:spacing w:line="500" w:lineRule="exact"/>
      <w:ind w:firstLine="200" w:firstLineChars="200"/>
    </w:pPr>
    <w:rPr>
      <w:rFonts w:hAnsi="宋体"/>
      <w:kern w:val="2"/>
      <w:sz w:val="24"/>
      <w:szCs w:val="24"/>
    </w:rPr>
  </w:style>
  <w:style w:type="paragraph" w:customStyle="1" w:styleId="393">
    <w:name w:val="0000"/>
    <w:basedOn w:val="1"/>
    <w:qFormat/>
    <w:uiPriority w:val="0"/>
    <w:pPr>
      <w:adjustRightInd w:val="0"/>
      <w:snapToGrid w:val="0"/>
    </w:pPr>
    <w:rPr>
      <w:rFonts w:hint="eastAsia"/>
      <w:sz w:val="24"/>
      <w:lang w:val="zh-TW"/>
    </w:rPr>
  </w:style>
  <w:style w:type="paragraph" w:customStyle="1" w:styleId="394">
    <w:name w:val="环正文"/>
    <w:basedOn w:val="1"/>
    <w:qFormat/>
    <w:uiPriority w:val="0"/>
    <w:pPr>
      <w:widowControl/>
      <w:tabs>
        <w:tab w:val="left" w:pos="5094"/>
      </w:tabs>
      <w:adjustRightInd w:val="0"/>
      <w:snapToGrid w:val="0"/>
      <w:spacing w:line="500" w:lineRule="exact"/>
      <w:ind w:firstLine="562"/>
      <w:textAlignment w:val="baseline"/>
    </w:pPr>
    <w:rPr>
      <w:rFonts w:eastAsia="仿宋_GB2312"/>
      <w:b/>
      <w:kern w:val="24"/>
      <w:sz w:val="28"/>
      <w:szCs w:val="28"/>
    </w:rPr>
  </w:style>
  <w:style w:type="paragraph" w:customStyle="1" w:styleId="395">
    <w:name w:val="二级无标题条"/>
    <w:basedOn w:val="1"/>
    <w:qFormat/>
    <w:uiPriority w:val="0"/>
  </w:style>
  <w:style w:type="paragraph" w:customStyle="1" w:styleId="396">
    <w:name w:val="Z正文"/>
    <w:basedOn w:val="1"/>
    <w:qFormat/>
    <w:uiPriority w:val="0"/>
    <w:pPr>
      <w:spacing w:line="400" w:lineRule="exact"/>
      <w:ind w:firstLine="600" w:firstLineChars="200"/>
    </w:pPr>
    <w:rPr>
      <w:rFonts w:ascii="Times New Roman" w:hAnsi="Times New Roman" w:eastAsia="宋体" w:cs="Times New Roman"/>
      <w:sz w:val="21"/>
      <w:szCs w:val="20"/>
    </w:rPr>
  </w:style>
  <w:style w:type="paragraph" w:customStyle="1" w:styleId="397">
    <w:name w:val="Z表格标题"/>
    <w:basedOn w:val="1"/>
    <w:next w:val="1"/>
    <w:qFormat/>
    <w:uiPriority w:val="0"/>
    <w:pPr>
      <w:spacing w:line="400" w:lineRule="exact"/>
      <w:jc w:val="center"/>
    </w:pPr>
    <w:rPr>
      <w:rFonts w:ascii="Times New Roman" w:hAnsi="Times New Roman" w:eastAsia="宋体"/>
      <w:b/>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76.jpeg"/><Relationship Id="rId92" Type="http://schemas.openxmlformats.org/officeDocument/2006/relationships/image" Target="media/image75.jpeg"/><Relationship Id="rId91" Type="http://schemas.openxmlformats.org/officeDocument/2006/relationships/image" Target="media/image74.jpeg"/><Relationship Id="rId90" Type="http://schemas.openxmlformats.org/officeDocument/2006/relationships/image" Target="media/image73.jpeg"/><Relationship Id="rId9" Type="http://schemas.openxmlformats.org/officeDocument/2006/relationships/header" Target="header2.xml"/><Relationship Id="rId89" Type="http://schemas.openxmlformats.org/officeDocument/2006/relationships/image" Target="media/image72.jpeg"/><Relationship Id="rId88" Type="http://schemas.openxmlformats.org/officeDocument/2006/relationships/image" Target="media/image71.jpeg"/><Relationship Id="rId87" Type="http://schemas.openxmlformats.org/officeDocument/2006/relationships/image" Target="media/image70.jpeg"/><Relationship Id="rId86" Type="http://schemas.openxmlformats.org/officeDocument/2006/relationships/image" Target="media/image69.jpeg"/><Relationship Id="rId85" Type="http://schemas.openxmlformats.org/officeDocument/2006/relationships/image" Target="media/image68.jpeg"/><Relationship Id="rId84" Type="http://schemas.openxmlformats.org/officeDocument/2006/relationships/image" Target="media/image67.jpeg"/><Relationship Id="rId83" Type="http://schemas.openxmlformats.org/officeDocument/2006/relationships/image" Target="media/image66.jpeg"/><Relationship Id="rId82" Type="http://schemas.openxmlformats.org/officeDocument/2006/relationships/image" Target="media/image65.jpe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footer" Target="footer3.xml"/><Relationship Id="rId79" Type="http://schemas.openxmlformats.org/officeDocument/2006/relationships/image" Target="media/image62.jpeg"/><Relationship Id="rId78" Type="http://schemas.openxmlformats.org/officeDocument/2006/relationships/image" Target="media/image61.jpeg"/><Relationship Id="rId77" Type="http://schemas.openxmlformats.org/officeDocument/2006/relationships/image" Target="media/image60.jpeg"/><Relationship Id="rId76" Type="http://schemas.openxmlformats.org/officeDocument/2006/relationships/image" Target="media/image59.jpeg"/><Relationship Id="rId75" Type="http://schemas.openxmlformats.org/officeDocument/2006/relationships/image" Target="media/image58.jpe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jpe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footer" Target="footer2.xm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1.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wmf"/><Relationship Id="rId32" Type="http://schemas.openxmlformats.org/officeDocument/2006/relationships/oleObject" Target="embeddings/oleObject6.bin"/><Relationship Id="rId31" Type="http://schemas.openxmlformats.org/officeDocument/2006/relationships/image" Target="media/image15.wmf"/><Relationship Id="rId30" Type="http://schemas.openxmlformats.org/officeDocument/2006/relationships/oleObject" Target="embeddings/oleObject5.bin"/><Relationship Id="rId3" Type="http://schemas.openxmlformats.org/officeDocument/2006/relationships/footnotes" Target="footnotes.xml"/><Relationship Id="rId29" Type="http://schemas.openxmlformats.org/officeDocument/2006/relationships/image" Target="media/image14.wmf"/><Relationship Id="rId28" Type="http://schemas.openxmlformats.org/officeDocument/2006/relationships/oleObject" Target="embeddings/oleObject4.bin"/><Relationship Id="rId27" Type="http://schemas.openxmlformats.org/officeDocument/2006/relationships/image" Target="media/image13.wmf"/><Relationship Id="rId26" Type="http://schemas.openxmlformats.org/officeDocument/2006/relationships/oleObject" Target="embeddings/oleObject3.bin"/><Relationship Id="rId25" Type="http://schemas.openxmlformats.org/officeDocument/2006/relationships/image" Target="media/image12.wmf"/><Relationship Id="rId24" Type="http://schemas.openxmlformats.org/officeDocument/2006/relationships/oleObject" Target="embeddings/oleObject2.bin"/><Relationship Id="rId23" Type="http://schemas.openxmlformats.org/officeDocument/2006/relationships/image" Target="media/image11.wmf"/><Relationship Id="rId22" Type="http://schemas.openxmlformats.org/officeDocument/2006/relationships/oleObject" Target="embeddings/oleObject1.bin"/><Relationship Id="rId21" Type="http://schemas.openxmlformats.org/officeDocument/2006/relationships/image" Target="media/image10.jpe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"/>
    </extobj>
    <extobj name="ECB019B1-382A-4266-B25C-5B523AA43C14-2">
      <extobjdata type="ECB019B1-382A-4266-B25C-5B523AA43C14" data="ewoJIkZpbGVJZCIgOiAiNDYwMTc0ODI4MDYxIiwKCSJHcm91cElkIiA6ICIyMzc5MDY2NSIsCgkiSW1hZ2UiIDogImlWQk9SdzBLR2dvQUFBQU5TVWhFVWdBQUJPY0FBQUVtQ0FZQUFBQXA3dlFIQUFBQUFYTlNSMElBcnM0YzZRQUFJQUJKUkVGVWVKenMzWGxjVk9YK0IvRFBHWVpGUUVURkJGZk0zRkNSd1Mwek5YRXBkM05mY2luUkVEVlROSGZOZlF1WHErWnVrWWttYXFpa2hWNzE1aFlLUVc1SWFNSVZGUVVGbEdXQVljN3ZqOHVjSHdNek1NUGlxSHplcjVldjREenJjSnl4OCtWNW5pOU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0ZUL0gvM0FyaDgzQ2YyY0FBQUFBRWxGVGtTdVFtQ0MiLAoJIlRoZW1lIiA6ICIiLAoJIlR5cGUiIDogImZsb3ciLAoJIlVzZXJJZCIgOiAiOTcyMjAzNiIsCgkiVmVyc2lvbiIgOiAiMTA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hb</Company>
  <Pages>170</Pages>
  <Words>4814</Words>
  <Characters>5090</Characters>
  <Lines>1</Lines>
  <Paragraphs>1</Paragraphs>
  <TotalTime>0</TotalTime>
  <ScaleCrop>false</ScaleCrop>
  <LinksUpToDate>false</LinksUpToDate>
  <CharactersWithSpaces>5116</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2023-02-24T04:38:00Z</dcterms:created>
  <dc:creator>hb_acc</dc:creator>
  <cp:lastModifiedBy>球球</cp:lastModifiedBy>
  <cp:lastPrinted>2025-12-22T02:16:00Z</cp:lastPrinted>
  <dcterms:modified xsi:type="dcterms:W3CDTF">2026-02-02T09:05:25Z</dcterms:modified>
  <dc:title>建设项目环境影响报告表</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8944613F2A3A4049B23AD1D853AA0697_13</vt:lpwstr>
  </property>
  <property fmtid="{D5CDD505-2E9C-101B-9397-08002B2CF9AE}" pid="4" name="KSOTemplateDocerSaveRecord">
    <vt:lpwstr>eyJoZGlkIjoiYWZhMzA0MTE2MGQ3ODcwOTgyMWY3NzY0ZDhkYzQxODciLCJ1c2VySWQiOiIzODk2NzQyOTcifQ==</vt:lpwstr>
  </property>
</Properties>
</file>